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56" w:rsidRPr="0033222D" w:rsidRDefault="00A25856" w:rsidP="00495995">
      <w:pPr>
        <w:pStyle w:val="a3"/>
        <w:rPr>
          <w:szCs w:val="28"/>
        </w:rPr>
      </w:pPr>
      <w:r w:rsidRPr="0033222D">
        <w:rPr>
          <w:szCs w:val="28"/>
        </w:rPr>
        <w:t xml:space="preserve">Звіт про базове відстеження результативності </w:t>
      </w:r>
    </w:p>
    <w:p w:rsidR="00A25856" w:rsidRPr="0053006C" w:rsidRDefault="00A25856" w:rsidP="00495995">
      <w:pPr>
        <w:spacing w:after="0" w:line="240" w:lineRule="auto"/>
        <w:ind w:firstLine="709"/>
        <w:jc w:val="center"/>
        <w:rPr>
          <w:rFonts w:ascii="Times New Roman" w:hAnsi="Times New Roman"/>
          <w:b/>
          <w:sz w:val="28"/>
          <w:szCs w:val="28"/>
        </w:rPr>
      </w:pPr>
      <w:r w:rsidRPr="0053006C">
        <w:rPr>
          <w:rFonts w:ascii="Times New Roman" w:hAnsi="Times New Roman"/>
          <w:b/>
          <w:sz w:val="28"/>
          <w:szCs w:val="28"/>
        </w:rPr>
        <w:t xml:space="preserve">рішення </w:t>
      </w:r>
      <w:r>
        <w:rPr>
          <w:rFonts w:ascii="Times New Roman" w:hAnsi="Times New Roman"/>
          <w:b/>
          <w:sz w:val="28"/>
          <w:szCs w:val="28"/>
        </w:rPr>
        <w:t>виконавчої дирекції</w:t>
      </w:r>
      <w:r w:rsidRPr="0053006C">
        <w:rPr>
          <w:rFonts w:ascii="Times New Roman" w:hAnsi="Times New Roman"/>
          <w:b/>
          <w:sz w:val="28"/>
          <w:szCs w:val="28"/>
        </w:rPr>
        <w:t xml:space="preserve"> Фонду гарантування вкладів фізичних осіб </w:t>
      </w:r>
      <w:r w:rsidRPr="004470E8">
        <w:rPr>
          <w:rFonts w:ascii="Times New Roman" w:hAnsi="Times New Roman"/>
          <w:b/>
          <w:sz w:val="28"/>
          <w:szCs w:val="28"/>
        </w:rPr>
        <w:t>«</w:t>
      </w:r>
      <w:r w:rsidR="00DA494B" w:rsidRPr="00E21D87">
        <w:rPr>
          <w:rFonts w:ascii="Times New Roman" w:hAnsi="Times New Roman"/>
          <w:b/>
          <w:sz w:val="28"/>
          <w:szCs w:val="28"/>
        </w:rPr>
        <w:t xml:space="preserve">Про </w:t>
      </w:r>
      <w:r w:rsidR="00DA494B">
        <w:rPr>
          <w:rFonts w:ascii="Times New Roman" w:hAnsi="Times New Roman"/>
          <w:b/>
          <w:sz w:val="28"/>
          <w:szCs w:val="28"/>
        </w:rPr>
        <w:t xml:space="preserve">удосконалення порядку складання </w:t>
      </w:r>
      <w:r w:rsidR="00DA494B" w:rsidRPr="00E21D87">
        <w:rPr>
          <w:rFonts w:ascii="Times New Roman" w:hAnsi="Times New Roman"/>
          <w:b/>
          <w:sz w:val="28"/>
          <w:szCs w:val="28"/>
        </w:rPr>
        <w:t>та под</w:t>
      </w:r>
      <w:r w:rsidR="00DA494B">
        <w:rPr>
          <w:rFonts w:ascii="Times New Roman" w:hAnsi="Times New Roman"/>
          <w:b/>
          <w:sz w:val="28"/>
          <w:szCs w:val="28"/>
        </w:rPr>
        <w:t xml:space="preserve">ання звітності учасниками Фонду </w:t>
      </w:r>
      <w:r w:rsidR="00DA494B" w:rsidRPr="00E21D87">
        <w:rPr>
          <w:rFonts w:ascii="Times New Roman" w:hAnsi="Times New Roman"/>
          <w:b/>
          <w:sz w:val="28"/>
          <w:szCs w:val="28"/>
        </w:rPr>
        <w:t>гарантування вкладів фізичних осіб</w:t>
      </w:r>
      <w:r w:rsidRPr="00174536">
        <w:rPr>
          <w:rFonts w:ascii="Times New Roman" w:hAnsi="Times New Roman"/>
          <w:b/>
          <w:sz w:val="28"/>
          <w:szCs w:val="28"/>
        </w:rPr>
        <w:t>»</w:t>
      </w:r>
    </w:p>
    <w:p w:rsidR="00A25856" w:rsidRPr="00317571" w:rsidRDefault="00A25856" w:rsidP="00495995">
      <w:pPr>
        <w:spacing w:after="0"/>
      </w:pPr>
    </w:p>
    <w:p w:rsidR="00A25856" w:rsidRPr="0033222D" w:rsidRDefault="00A25856" w:rsidP="00495995">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86"/>
        <w:jc w:val="both"/>
        <w:rPr>
          <w:rFonts w:ascii="Times New Roman" w:hAnsi="Times New Roman"/>
          <w:b/>
          <w:noProof/>
          <w:sz w:val="28"/>
          <w:szCs w:val="28"/>
          <w:lang w:val="uk-UA"/>
        </w:rPr>
      </w:pPr>
      <w:r w:rsidRPr="0033222D">
        <w:rPr>
          <w:rFonts w:ascii="Times New Roman" w:hAnsi="Times New Roman"/>
          <w:b/>
          <w:noProof/>
          <w:sz w:val="28"/>
          <w:szCs w:val="28"/>
          <w:lang w:val="uk-UA"/>
        </w:rPr>
        <w:t>Вид та назва регуляторного акта</w:t>
      </w:r>
    </w:p>
    <w:p w:rsidR="00A25856" w:rsidRPr="00A25856" w:rsidRDefault="00A25856" w:rsidP="00495995">
      <w:pPr>
        <w:pStyle w:val="NormalText"/>
        <w:ind w:firstLine="426"/>
        <w:rPr>
          <w:rFonts w:ascii="Times New Roman" w:hAnsi="Times New Roman"/>
          <w:sz w:val="28"/>
          <w:szCs w:val="28"/>
          <w:lang w:val="uk-UA" w:eastAsia="en-US"/>
        </w:rPr>
      </w:pPr>
      <w:r w:rsidRPr="00317571">
        <w:rPr>
          <w:rFonts w:ascii="Times New Roman" w:hAnsi="Times New Roman"/>
          <w:sz w:val="28"/>
          <w:szCs w:val="28"/>
          <w:lang w:val="uk-UA" w:eastAsia="en-US"/>
        </w:rPr>
        <w:t xml:space="preserve">Рішення </w:t>
      </w:r>
      <w:r w:rsidRPr="00A25856">
        <w:rPr>
          <w:rFonts w:ascii="Times New Roman" w:hAnsi="Times New Roman"/>
          <w:sz w:val="28"/>
          <w:szCs w:val="28"/>
          <w:lang w:val="uk-UA" w:eastAsia="en-US"/>
        </w:rPr>
        <w:t xml:space="preserve">виконавчої дирекції Фонду гарантування вкладів фізичних осіб </w:t>
      </w:r>
      <w:r w:rsidRPr="00A25856">
        <w:rPr>
          <w:rFonts w:ascii="Times New Roman" w:hAnsi="Times New Roman"/>
          <w:sz w:val="28"/>
          <w:szCs w:val="28"/>
          <w:lang w:val="uk-UA"/>
        </w:rPr>
        <w:t xml:space="preserve"> від </w:t>
      </w:r>
      <w:r w:rsidR="00DA494B" w:rsidRPr="00DA494B">
        <w:rPr>
          <w:rFonts w:ascii="Times New Roman" w:hAnsi="Times New Roman"/>
          <w:sz w:val="28"/>
          <w:szCs w:val="28"/>
          <w:lang w:val="uk-UA" w:eastAsia="en-US"/>
        </w:rPr>
        <w:t>08.09.2014 № 88</w:t>
      </w:r>
      <w:r w:rsidR="00DA494B" w:rsidRPr="00A25856">
        <w:rPr>
          <w:rFonts w:ascii="Times New Roman" w:hAnsi="Times New Roman"/>
          <w:sz w:val="28"/>
          <w:szCs w:val="28"/>
          <w:lang w:val="uk-UA"/>
        </w:rPr>
        <w:t xml:space="preserve"> </w:t>
      </w:r>
      <w:r w:rsidRPr="00A25856">
        <w:rPr>
          <w:rFonts w:ascii="Times New Roman" w:hAnsi="Times New Roman"/>
          <w:sz w:val="28"/>
          <w:szCs w:val="28"/>
          <w:lang w:val="uk-UA"/>
        </w:rPr>
        <w:t>«Про удосконалення порядку складання та подання звітності учасниками Фонду гарантування вкладів фізичних».</w:t>
      </w:r>
    </w:p>
    <w:p w:rsidR="00A25856" w:rsidRPr="00A25856" w:rsidRDefault="00A25856" w:rsidP="00495995">
      <w:pPr>
        <w:spacing w:after="0" w:line="240" w:lineRule="auto"/>
        <w:ind w:left="360" w:firstLine="348"/>
        <w:jc w:val="both"/>
        <w:rPr>
          <w:rFonts w:ascii="Times New Roman" w:hAnsi="Times New Roman"/>
          <w:sz w:val="28"/>
          <w:szCs w:val="28"/>
        </w:rPr>
      </w:pPr>
    </w:p>
    <w:p w:rsidR="00A25856" w:rsidRPr="0033222D" w:rsidRDefault="00A25856" w:rsidP="00495995">
      <w:pPr>
        <w:pStyle w:val="HTML"/>
        <w:numPr>
          <w:ilvl w:val="0"/>
          <w:numId w:val="1"/>
        </w:numPr>
        <w:ind w:right="-86"/>
        <w:jc w:val="both"/>
        <w:rPr>
          <w:rFonts w:ascii="Times New Roman" w:hAnsi="Times New Roman"/>
          <w:b/>
          <w:sz w:val="28"/>
          <w:szCs w:val="28"/>
          <w:lang w:val="uk-UA"/>
        </w:rPr>
      </w:pPr>
      <w:r w:rsidRPr="0033222D">
        <w:rPr>
          <w:rFonts w:ascii="Times New Roman" w:hAnsi="Times New Roman"/>
          <w:b/>
          <w:sz w:val="28"/>
          <w:szCs w:val="28"/>
          <w:lang w:val="uk-UA"/>
        </w:rPr>
        <w:t>Виконавець заходів з відстеження</w:t>
      </w:r>
    </w:p>
    <w:p w:rsidR="00A25856" w:rsidRPr="00B64F01" w:rsidRDefault="00A25856" w:rsidP="00495995">
      <w:pPr>
        <w:pStyle w:val="NormalText"/>
        <w:ind w:firstLine="426"/>
        <w:rPr>
          <w:rFonts w:ascii="Times New Roman" w:hAnsi="Times New Roman"/>
          <w:sz w:val="28"/>
          <w:szCs w:val="28"/>
          <w:lang w:val="uk-UA"/>
        </w:rPr>
      </w:pPr>
      <w:r w:rsidRPr="004E5D52">
        <w:rPr>
          <w:rFonts w:ascii="Times New Roman" w:hAnsi="Times New Roman"/>
          <w:sz w:val="28"/>
          <w:szCs w:val="28"/>
          <w:lang w:val="uk-UA"/>
        </w:rPr>
        <w:t xml:space="preserve">Відділ стратегії та </w:t>
      </w:r>
      <w:r>
        <w:rPr>
          <w:rFonts w:ascii="Times New Roman" w:hAnsi="Times New Roman"/>
          <w:sz w:val="28"/>
          <w:szCs w:val="28"/>
          <w:lang w:val="uk-UA"/>
        </w:rPr>
        <w:t>нормативно-методологічного забезпечення</w:t>
      </w:r>
      <w:r w:rsidRPr="004E5D52">
        <w:rPr>
          <w:rFonts w:ascii="Times New Roman" w:hAnsi="Times New Roman"/>
          <w:sz w:val="28"/>
          <w:szCs w:val="28"/>
          <w:lang w:val="uk-UA"/>
        </w:rPr>
        <w:t xml:space="preserve"> Фонду.</w:t>
      </w:r>
    </w:p>
    <w:p w:rsidR="00A25856" w:rsidRPr="00B64F01" w:rsidRDefault="00A25856" w:rsidP="00495995">
      <w:pPr>
        <w:pStyle w:val="NormalText"/>
        <w:rPr>
          <w:rFonts w:ascii="Times New Roman" w:hAnsi="Times New Roman"/>
          <w:sz w:val="28"/>
          <w:szCs w:val="28"/>
          <w:lang w:val="uk-UA" w:eastAsia="en-US"/>
        </w:rPr>
      </w:pPr>
    </w:p>
    <w:p w:rsidR="00A25856" w:rsidRDefault="00A25856" w:rsidP="00495995">
      <w:pPr>
        <w:pStyle w:val="HTML"/>
        <w:numPr>
          <w:ilvl w:val="0"/>
          <w:numId w:val="1"/>
        </w:numPr>
        <w:ind w:right="-86"/>
        <w:jc w:val="both"/>
        <w:rPr>
          <w:rFonts w:ascii="Times New Roman" w:hAnsi="Times New Roman"/>
          <w:b/>
          <w:sz w:val="28"/>
          <w:szCs w:val="28"/>
          <w:lang w:val="uk-UA"/>
        </w:rPr>
      </w:pPr>
      <w:r w:rsidRPr="0033222D">
        <w:rPr>
          <w:rFonts w:ascii="Times New Roman" w:hAnsi="Times New Roman"/>
          <w:b/>
          <w:sz w:val="28"/>
          <w:szCs w:val="28"/>
          <w:lang w:val="uk-UA"/>
        </w:rPr>
        <w:t xml:space="preserve">Цілі прийняття </w:t>
      </w:r>
      <w:r>
        <w:rPr>
          <w:rFonts w:ascii="Times New Roman" w:hAnsi="Times New Roman"/>
          <w:b/>
          <w:sz w:val="28"/>
          <w:szCs w:val="28"/>
          <w:lang w:val="uk-UA"/>
        </w:rPr>
        <w:t xml:space="preserve">регуляторного </w:t>
      </w:r>
      <w:r w:rsidRPr="0033222D">
        <w:rPr>
          <w:rFonts w:ascii="Times New Roman" w:hAnsi="Times New Roman"/>
          <w:b/>
          <w:sz w:val="28"/>
          <w:szCs w:val="28"/>
          <w:lang w:val="uk-UA"/>
        </w:rPr>
        <w:t>акта</w:t>
      </w:r>
    </w:p>
    <w:p w:rsidR="00DF4E58" w:rsidRDefault="00A25856" w:rsidP="00495995">
      <w:pPr>
        <w:spacing w:after="0" w:line="240" w:lineRule="auto"/>
        <w:ind w:firstLine="709"/>
        <w:jc w:val="both"/>
        <w:rPr>
          <w:rFonts w:ascii="Times New Roman" w:hAnsi="Times New Roman"/>
          <w:sz w:val="28"/>
          <w:szCs w:val="28"/>
        </w:rPr>
      </w:pPr>
      <w:r w:rsidRPr="00640024">
        <w:rPr>
          <w:rFonts w:ascii="Times New Roman" w:hAnsi="Times New Roman"/>
          <w:sz w:val="28"/>
          <w:szCs w:val="28"/>
        </w:rPr>
        <w:t>Регуляторний акт спрямований на</w:t>
      </w:r>
      <w:r w:rsidR="00DF4E58">
        <w:rPr>
          <w:rFonts w:ascii="Times New Roman" w:hAnsi="Times New Roman"/>
          <w:sz w:val="28"/>
          <w:szCs w:val="28"/>
        </w:rPr>
        <w:t xml:space="preserve"> приведення у відповідність до Закону нормативно-правових актів Фонду, що стосуються подання звітності учасниками Фонду, та удосконалення переліку звітності, її змісту, порядку її складання та подання, а також надання можливості прогнозувати витрати Фонду щодо здійснення виплат коштів вкладників.</w:t>
      </w:r>
    </w:p>
    <w:p w:rsidR="00DA494B" w:rsidRDefault="00DA494B" w:rsidP="00495995">
      <w:pPr>
        <w:spacing w:after="0" w:line="240" w:lineRule="auto"/>
        <w:ind w:firstLine="709"/>
        <w:jc w:val="both"/>
        <w:rPr>
          <w:rFonts w:ascii="Times New Roman" w:hAnsi="Times New Roman"/>
          <w:sz w:val="28"/>
          <w:szCs w:val="28"/>
        </w:rPr>
      </w:pPr>
    </w:p>
    <w:p w:rsidR="00A25856" w:rsidRDefault="00A25856" w:rsidP="00495995">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Строк виконання заходів з відстеження</w:t>
      </w:r>
    </w:p>
    <w:p w:rsidR="00A25856" w:rsidRPr="00445504" w:rsidRDefault="00A25856" w:rsidP="00495995">
      <w:pPr>
        <w:pStyle w:val="NormalText"/>
        <w:ind w:firstLine="360"/>
        <w:rPr>
          <w:rFonts w:ascii="Times New Roman" w:hAnsi="Times New Roman"/>
          <w:sz w:val="28"/>
          <w:szCs w:val="28"/>
          <w:lang w:val="uk-UA"/>
        </w:rPr>
      </w:pPr>
      <w:r w:rsidRPr="00445504">
        <w:rPr>
          <w:rFonts w:ascii="Times New Roman" w:hAnsi="Times New Roman"/>
          <w:sz w:val="28"/>
          <w:szCs w:val="28"/>
          <w:lang w:val="uk-UA"/>
        </w:rPr>
        <w:t xml:space="preserve">Базове відстеження результативності регуляторного акта проводилось з </w:t>
      </w:r>
      <w:r w:rsidR="00132F8C">
        <w:rPr>
          <w:rFonts w:ascii="Times New Roman" w:hAnsi="Times New Roman"/>
          <w:sz w:val="28"/>
          <w:szCs w:val="28"/>
          <w:lang w:val="uk-UA"/>
        </w:rPr>
        <w:t>0</w:t>
      </w:r>
      <w:r w:rsidR="00DA494B">
        <w:rPr>
          <w:rFonts w:ascii="Times New Roman" w:hAnsi="Times New Roman"/>
          <w:sz w:val="28"/>
          <w:szCs w:val="28"/>
          <w:lang w:val="uk-UA"/>
        </w:rPr>
        <w:t>8</w:t>
      </w:r>
      <w:r w:rsidRPr="00445504">
        <w:rPr>
          <w:rFonts w:ascii="Times New Roman" w:hAnsi="Times New Roman"/>
          <w:sz w:val="28"/>
          <w:szCs w:val="28"/>
          <w:lang w:val="uk-UA"/>
        </w:rPr>
        <w:t xml:space="preserve"> по </w:t>
      </w:r>
      <w:r w:rsidR="00DA494B">
        <w:rPr>
          <w:rFonts w:ascii="Times New Roman" w:hAnsi="Times New Roman"/>
          <w:sz w:val="28"/>
          <w:szCs w:val="28"/>
          <w:lang w:val="uk-UA"/>
        </w:rPr>
        <w:t>31</w:t>
      </w:r>
      <w:r w:rsidR="00A15D13">
        <w:rPr>
          <w:rFonts w:ascii="Times New Roman" w:hAnsi="Times New Roman"/>
          <w:sz w:val="28"/>
          <w:szCs w:val="28"/>
          <w:lang w:val="uk-UA"/>
        </w:rPr>
        <w:t xml:space="preserve">жовтня </w:t>
      </w:r>
      <w:r w:rsidR="00DA494B">
        <w:rPr>
          <w:rFonts w:ascii="Times New Roman" w:hAnsi="Times New Roman"/>
          <w:sz w:val="28"/>
          <w:szCs w:val="28"/>
          <w:lang w:val="uk-UA"/>
        </w:rPr>
        <w:t xml:space="preserve"> </w:t>
      </w:r>
      <w:r w:rsidRPr="00445504">
        <w:rPr>
          <w:rFonts w:ascii="Times New Roman" w:hAnsi="Times New Roman"/>
          <w:sz w:val="28"/>
          <w:szCs w:val="28"/>
          <w:lang w:val="uk-UA"/>
        </w:rPr>
        <w:t>201</w:t>
      </w:r>
      <w:r w:rsidR="00DA494B">
        <w:rPr>
          <w:rFonts w:ascii="Times New Roman" w:hAnsi="Times New Roman"/>
          <w:sz w:val="28"/>
          <w:szCs w:val="28"/>
          <w:lang w:val="uk-UA"/>
        </w:rPr>
        <w:t>5</w:t>
      </w:r>
      <w:r w:rsidRPr="00445504">
        <w:rPr>
          <w:rFonts w:ascii="Times New Roman" w:hAnsi="Times New Roman"/>
          <w:sz w:val="28"/>
          <w:szCs w:val="28"/>
          <w:lang w:val="uk-UA"/>
        </w:rPr>
        <w:t xml:space="preserve"> року.</w:t>
      </w:r>
    </w:p>
    <w:p w:rsidR="00A25856" w:rsidRPr="00132F8C" w:rsidRDefault="00A25856" w:rsidP="00495995">
      <w:pPr>
        <w:pStyle w:val="NormalText"/>
        <w:ind w:firstLine="360"/>
        <w:rPr>
          <w:rFonts w:ascii="Times New Roman" w:hAnsi="Times New Roman"/>
          <w:sz w:val="28"/>
          <w:szCs w:val="28"/>
          <w:lang w:val="uk-UA" w:eastAsia="en-US"/>
        </w:rPr>
      </w:pPr>
    </w:p>
    <w:p w:rsidR="00A25856" w:rsidRPr="0033222D" w:rsidRDefault="00A25856" w:rsidP="00495995">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Тип відстеження</w:t>
      </w:r>
    </w:p>
    <w:p w:rsidR="00A25856" w:rsidRDefault="00A25856" w:rsidP="00495995">
      <w:pPr>
        <w:pStyle w:val="NormalText"/>
        <w:ind w:firstLine="426"/>
        <w:rPr>
          <w:rFonts w:ascii="Times New Roman" w:hAnsi="Times New Roman"/>
          <w:sz w:val="28"/>
          <w:szCs w:val="28"/>
          <w:lang w:val="uk-UA"/>
        </w:rPr>
      </w:pPr>
      <w:r w:rsidRPr="0033222D">
        <w:rPr>
          <w:rFonts w:ascii="Times New Roman" w:hAnsi="Times New Roman"/>
          <w:sz w:val="28"/>
          <w:szCs w:val="28"/>
          <w:lang w:val="uk-UA"/>
        </w:rPr>
        <w:t>Базове відстеження.</w:t>
      </w:r>
    </w:p>
    <w:p w:rsidR="00A25856" w:rsidRDefault="00A25856" w:rsidP="00495995">
      <w:pPr>
        <w:pStyle w:val="NormalText"/>
        <w:ind w:firstLine="600"/>
        <w:rPr>
          <w:rFonts w:ascii="Times New Roman" w:hAnsi="Times New Roman"/>
          <w:sz w:val="28"/>
          <w:szCs w:val="28"/>
          <w:lang w:val="uk-UA"/>
        </w:rPr>
      </w:pPr>
    </w:p>
    <w:p w:rsidR="00A25856" w:rsidRPr="0033222D" w:rsidRDefault="00A25856" w:rsidP="00495995">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Метод одержання результатів відстеження</w:t>
      </w:r>
    </w:p>
    <w:p w:rsidR="00A25856" w:rsidRPr="004E5D52" w:rsidRDefault="00A25856" w:rsidP="00495995">
      <w:pPr>
        <w:spacing w:after="0" w:line="240" w:lineRule="auto"/>
        <w:ind w:firstLine="426"/>
        <w:jc w:val="both"/>
        <w:rPr>
          <w:rFonts w:ascii="Times New Roman" w:hAnsi="Times New Roman"/>
          <w:color w:val="000000"/>
          <w:sz w:val="28"/>
          <w:szCs w:val="28"/>
        </w:rPr>
      </w:pPr>
      <w:r>
        <w:rPr>
          <w:rFonts w:ascii="Times New Roman" w:hAnsi="Times New Roman"/>
          <w:sz w:val="28"/>
          <w:szCs w:val="28"/>
        </w:rPr>
        <w:t xml:space="preserve">Аналіз кількості </w:t>
      </w:r>
      <w:r w:rsidR="000B3310">
        <w:rPr>
          <w:rFonts w:ascii="Times New Roman" w:hAnsi="Times New Roman"/>
          <w:sz w:val="28"/>
          <w:szCs w:val="28"/>
        </w:rPr>
        <w:t>та змісту порушен</w:t>
      </w:r>
      <w:r w:rsidR="002B02E1">
        <w:rPr>
          <w:rFonts w:ascii="Times New Roman" w:hAnsi="Times New Roman"/>
          <w:sz w:val="28"/>
          <w:szCs w:val="28"/>
        </w:rPr>
        <w:t>ь</w:t>
      </w:r>
      <w:r w:rsidR="000B3310">
        <w:rPr>
          <w:rFonts w:ascii="Times New Roman" w:hAnsi="Times New Roman"/>
          <w:sz w:val="28"/>
          <w:szCs w:val="28"/>
        </w:rPr>
        <w:t xml:space="preserve"> щодо подання звітності до Фонду</w:t>
      </w:r>
      <w:r>
        <w:rPr>
          <w:rFonts w:ascii="Times New Roman" w:hAnsi="Times New Roman"/>
          <w:sz w:val="28"/>
          <w:szCs w:val="28"/>
        </w:rPr>
        <w:t>.</w:t>
      </w:r>
    </w:p>
    <w:p w:rsidR="00A25856" w:rsidRPr="004E5D52" w:rsidRDefault="00A25856" w:rsidP="00495995">
      <w:pPr>
        <w:pStyle w:val="NormalText"/>
        <w:ind w:firstLine="0"/>
        <w:rPr>
          <w:rFonts w:ascii="Times New Roman" w:hAnsi="Times New Roman"/>
          <w:sz w:val="28"/>
          <w:szCs w:val="28"/>
          <w:lang w:val="uk-UA"/>
        </w:rPr>
      </w:pPr>
    </w:p>
    <w:p w:rsidR="00A25856" w:rsidRPr="0033222D" w:rsidRDefault="00A25856" w:rsidP="00495995">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Дані та припуще</w:t>
      </w:r>
      <w:r w:rsidR="00DF4E58">
        <w:rPr>
          <w:rFonts w:ascii="Times New Roman" w:hAnsi="Times New Roman"/>
          <w:b/>
          <w:sz w:val="28"/>
          <w:szCs w:val="28"/>
          <w:lang w:val="uk-UA"/>
        </w:rPr>
        <w:t>ння, на основі яких відстежувала</w:t>
      </w:r>
      <w:r w:rsidRPr="0033222D">
        <w:rPr>
          <w:rFonts w:ascii="Times New Roman" w:hAnsi="Times New Roman"/>
          <w:b/>
          <w:sz w:val="28"/>
          <w:szCs w:val="28"/>
          <w:lang w:val="uk-UA"/>
        </w:rPr>
        <w:t xml:space="preserve">ся результативність, </w:t>
      </w:r>
      <w:r>
        <w:rPr>
          <w:rFonts w:ascii="Times New Roman" w:hAnsi="Times New Roman"/>
          <w:b/>
          <w:sz w:val="28"/>
          <w:szCs w:val="28"/>
          <w:lang w:val="uk-UA"/>
        </w:rPr>
        <w:t xml:space="preserve">а також способи одержання даних </w:t>
      </w:r>
    </w:p>
    <w:p w:rsidR="000B3310" w:rsidRDefault="00A25856" w:rsidP="00495995">
      <w:pPr>
        <w:spacing w:after="0" w:line="240" w:lineRule="auto"/>
        <w:ind w:firstLine="708"/>
        <w:jc w:val="both"/>
        <w:rPr>
          <w:rFonts w:ascii="Times New Roman" w:hAnsi="Times New Roman"/>
          <w:bCs/>
          <w:sz w:val="28"/>
          <w:szCs w:val="28"/>
        </w:rPr>
      </w:pPr>
      <w:r w:rsidRPr="001F7B0C">
        <w:rPr>
          <w:rFonts w:ascii="Times New Roman" w:hAnsi="Times New Roman"/>
          <w:sz w:val="28"/>
          <w:szCs w:val="28"/>
        </w:rPr>
        <w:t xml:space="preserve">Показниками результативності </w:t>
      </w:r>
      <w:r w:rsidR="000B3310">
        <w:rPr>
          <w:rFonts w:ascii="Times New Roman" w:hAnsi="Times New Roman"/>
          <w:bCs/>
          <w:sz w:val="28"/>
          <w:szCs w:val="28"/>
        </w:rPr>
        <w:t>є:</w:t>
      </w:r>
    </w:p>
    <w:p w:rsidR="00DF4E58" w:rsidRPr="00DF4E58" w:rsidRDefault="00DF4E58" w:rsidP="00495995">
      <w:pPr>
        <w:pStyle w:val="a6"/>
        <w:numPr>
          <w:ilvl w:val="0"/>
          <w:numId w:val="4"/>
        </w:numPr>
        <w:spacing w:after="0" w:line="240" w:lineRule="auto"/>
        <w:ind w:left="426" w:firstLine="196"/>
        <w:jc w:val="both"/>
        <w:rPr>
          <w:rFonts w:ascii="Times New Roman" w:hAnsi="Times New Roman"/>
          <w:bCs/>
          <w:sz w:val="28"/>
          <w:szCs w:val="28"/>
        </w:rPr>
      </w:pPr>
      <w:r w:rsidRPr="00DF4E58">
        <w:rPr>
          <w:rFonts w:ascii="Times New Roman" w:hAnsi="Times New Roman"/>
          <w:bCs/>
          <w:sz w:val="28"/>
          <w:szCs w:val="28"/>
        </w:rPr>
        <w:t>підвищення рівня інформування Фонду про фінансовий стан його учасників</w:t>
      </w:r>
      <w:r w:rsidR="000B3310" w:rsidRPr="00DF4E58">
        <w:rPr>
          <w:rFonts w:ascii="Times New Roman" w:hAnsi="Times New Roman"/>
          <w:bCs/>
          <w:sz w:val="28"/>
          <w:szCs w:val="28"/>
        </w:rPr>
        <w:t>;</w:t>
      </w:r>
      <w:r w:rsidRPr="00DF4E58">
        <w:rPr>
          <w:rFonts w:ascii="Times New Roman" w:hAnsi="Times New Roman"/>
          <w:bCs/>
          <w:sz w:val="28"/>
          <w:szCs w:val="28"/>
        </w:rPr>
        <w:t xml:space="preserve"> </w:t>
      </w:r>
    </w:p>
    <w:p w:rsidR="00DF4E58" w:rsidRDefault="000B3310" w:rsidP="00495995">
      <w:pPr>
        <w:pStyle w:val="a6"/>
        <w:numPr>
          <w:ilvl w:val="0"/>
          <w:numId w:val="4"/>
        </w:numPr>
        <w:spacing w:after="0" w:line="240" w:lineRule="auto"/>
        <w:ind w:left="426" w:firstLine="196"/>
        <w:jc w:val="both"/>
        <w:rPr>
          <w:rFonts w:ascii="Times New Roman" w:hAnsi="Times New Roman"/>
          <w:bCs/>
          <w:sz w:val="28"/>
          <w:szCs w:val="28"/>
        </w:rPr>
      </w:pPr>
      <w:r w:rsidRPr="00DF4E58">
        <w:rPr>
          <w:rFonts w:ascii="Times New Roman" w:hAnsi="Times New Roman"/>
          <w:bCs/>
          <w:sz w:val="28"/>
          <w:szCs w:val="28"/>
        </w:rPr>
        <w:t>надання Фонду можливості прогнозування своїх можливих витрат</w:t>
      </w:r>
      <w:r w:rsidR="00DF4E58" w:rsidRPr="00DF4E58">
        <w:rPr>
          <w:rFonts w:ascii="Times New Roman" w:hAnsi="Times New Roman"/>
          <w:bCs/>
          <w:sz w:val="28"/>
          <w:szCs w:val="28"/>
        </w:rPr>
        <w:t xml:space="preserve"> щодо здійснення виплат коштів вкладників.</w:t>
      </w:r>
    </w:p>
    <w:p w:rsidR="00495995" w:rsidRDefault="00495995" w:rsidP="00495995">
      <w:pPr>
        <w:spacing w:after="0" w:line="240" w:lineRule="auto"/>
        <w:ind w:firstLine="622"/>
        <w:jc w:val="both"/>
        <w:rPr>
          <w:rFonts w:ascii="Times New Roman" w:hAnsi="Times New Roman"/>
          <w:sz w:val="28"/>
          <w:szCs w:val="28"/>
        </w:rPr>
      </w:pPr>
      <w:r w:rsidRPr="00495995">
        <w:rPr>
          <w:rFonts w:ascii="Times New Roman" w:hAnsi="Times New Roman"/>
          <w:sz w:val="28"/>
          <w:szCs w:val="28"/>
        </w:rPr>
        <w:t xml:space="preserve">До кількісних значень показників результативності відносяться зменшення кількості актів про порушення вимог щодо подання складання звітності. Крім того, затверджений регуляторний акт сприяє отриманню Фондом достовірних даних, оскільки учасникам Фонду буде надано більше часу для підготовки звітності шляхом продовження строків її подання. </w:t>
      </w:r>
    </w:p>
    <w:p w:rsidR="009B656E" w:rsidRPr="00495995" w:rsidRDefault="009B656E" w:rsidP="00495995">
      <w:pPr>
        <w:spacing w:after="0" w:line="240" w:lineRule="auto"/>
        <w:ind w:firstLine="622"/>
        <w:jc w:val="both"/>
        <w:rPr>
          <w:rFonts w:ascii="Times New Roman" w:hAnsi="Times New Roman"/>
          <w:sz w:val="28"/>
          <w:szCs w:val="28"/>
        </w:rPr>
      </w:pPr>
    </w:p>
    <w:p w:rsidR="00A25856" w:rsidRPr="004E5D52" w:rsidRDefault="00A25856" w:rsidP="00495995">
      <w:pPr>
        <w:pStyle w:val="NormalText"/>
        <w:numPr>
          <w:ilvl w:val="0"/>
          <w:numId w:val="1"/>
        </w:numPr>
        <w:tabs>
          <w:tab w:val="clear" w:pos="360"/>
          <w:tab w:val="num" w:pos="0"/>
        </w:tabs>
        <w:ind w:left="0" w:firstLine="0"/>
        <w:rPr>
          <w:rFonts w:ascii="Times New Roman" w:hAnsi="Times New Roman"/>
          <w:b/>
          <w:sz w:val="28"/>
          <w:szCs w:val="28"/>
          <w:lang w:val="uk-UA"/>
        </w:rPr>
      </w:pPr>
      <w:r w:rsidRPr="001F7B0C">
        <w:rPr>
          <w:rFonts w:ascii="Times New Roman" w:hAnsi="Times New Roman"/>
          <w:b/>
          <w:sz w:val="28"/>
          <w:szCs w:val="28"/>
          <w:lang w:val="uk-UA"/>
        </w:rPr>
        <w:t>Кількісні та якісні значення</w:t>
      </w:r>
      <w:r w:rsidRPr="00C043DF">
        <w:rPr>
          <w:rFonts w:ascii="Times New Roman" w:hAnsi="Times New Roman"/>
          <w:b/>
          <w:sz w:val="28"/>
          <w:szCs w:val="28"/>
          <w:lang w:val="uk-UA"/>
        </w:rPr>
        <w:t xml:space="preserve"> показників результативності</w:t>
      </w:r>
    </w:p>
    <w:p w:rsidR="002C3408" w:rsidRDefault="002C3408" w:rsidP="009B656E">
      <w:pPr>
        <w:spacing w:after="0" w:line="240" w:lineRule="auto"/>
        <w:ind w:firstLine="708"/>
        <w:jc w:val="both"/>
        <w:rPr>
          <w:rFonts w:ascii="Times New Roman" w:hAnsi="Times New Roman"/>
          <w:bCs/>
          <w:sz w:val="28"/>
          <w:szCs w:val="28"/>
        </w:rPr>
      </w:pPr>
      <w:r w:rsidRPr="008605F2">
        <w:rPr>
          <w:rFonts w:ascii="Times New Roman" w:hAnsi="Times New Roman"/>
          <w:bCs/>
          <w:sz w:val="28"/>
          <w:szCs w:val="28"/>
        </w:rPr>
        <w:t>Кількісні показники результативності будуть аналізуватись протягом наступних відстежень результативності регуляторного акту, після напрацювання відповідної статистичної бази.</w:t>
      </w:r>
    </w:p>
    <w:p w:rsidR="009B656E" w:rsidRPr="00B71405" w:rsidRDefault="009B656E" w:rsidP="009B656E">
      <w:pPr>
        <w:spacing w:after="0"/>
        <w:ind w:firstLine="708"/>
        <w:jc w:val="both"/>
        <w:rPr>
          <w:rFonts w:ascii="Times New Roman" w:eastAsia="Times New Roman" w:hAnsi="Times New Roman"/>
          <w:sz w:val="28"/>
          <w:szCs w:val="28"/>
        </w:rPr>
      </w:pPr>
      <w:r w:rsidRPr="00B71405">
        <w:rPr>
          <w:rFonts w:ascii="Times New Roman" w:hAnsi="Times New Roman"/>
          <w:sz w:val="28"/>
          <w:szCs w:val="28"/>
          <w:lang w:eastAsia="ru-RU"/>
        </w:rPr>
        <w:lastRenderedPageBreak/>
        <w:t>За підсумками проведених перевірок</w:t>
      </w:r>
      <w:r>
        <w:rPr>
          <w:rFonts w:ascii="Times New Roman" w:hAnsi="Times New Roman"/>
          <w:sz w:val="28"/>
          <w:szCs w:val="28"/>
          <w:lang w:eastAsia="ru-RU"/>
        </w:rPr>
        <w:t xml:space="preserve"> у 2013 році</w:t>
      </w:r>
      <w:r w:rsidRPr="00B71405">
        <w:rPr>
          <w:rFonts w:ascii="Times New Roman" w:hAnsi="Times New Roman"/>
          <w:sz w:val="28"/>
          <w:szCs w:val="28"/>
          <w:lang w:eastAsia="ru-RU"/>
        </w:rPr>
        <w:t xml:space="preserve"> встановлені факти порушень учасниками ФГВФО достовірності (порядку складання) звітності № 1-Ф у 58 з усіх перевірених банків, питома вага даного порушення складає 29,</w:t>
      </w:r>
      <w:r>
        <w:rPr>
          <w:rFonts w:ascii="Times New Roman" w:hAnsi="Times New Roman"/>
          <w:sz w:val="28"/>
          <w:szCs w:val="28"/>
          <w:lang w:eastAsia="ru-RU"/>
        </w:rPr>
        <w:t>90% від всіх виявлених порушень, серед яких:</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несвоєчасне надання звітності до ФГВФО;</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неврахування вкладників фізичних осіб залишок коштів за якими дорівнює нулю;</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неврахування фізичних осіб-підприємців залишок коштів за якими дорівнює нулю;</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 включення інформації за всіма коштами фізичних осіб-підприємців;</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 включення вкладів в банківських металах;</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 включення залишків коштів фізичних осіб за недіючими рахунками, які обліковувалися на рахунках кредиторської заборгованості;</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заниження суми вкладів фізичних осіб;</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заниження суми коштів фізичних осіб-підприємців;</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включення даних за овердрафтами;</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не врахування залишків коштів приватних нотаріусів;</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включення залишків коштів фізичних осіб, які не підпадають під визначення терміну «вклад»;</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помилки заокруглення при підрахунку еквіваленту за залишками у валюті;</w:t>
      </w:r>
    </w:p>
    <w:p w:rsidR="009B656E" w:rsidRPr="00B71405" w:rsidRDefault="009B656E" w:rsidP="009B656E">
      <w:pPr>
        <w:autoSpaceDE w:val="0"/>
        <w:autoSpaceDN w:val="0"/>
        <w:adjustRightInd w:val="0"/>
        <w:spacing w:after="0" w:line="240" w:lineRule="auto"/>
        <w:ind w:firstLine="709"/>
        <w:rPr>
          <w:rFonts w:ascii="Times New Roman" w:hAnsi="Times New Roman"/>
          <w:sz w:val="28"/>
          <w:szCs w:val="28"/>
          <w:lang w:eastAsia="ru-RU"/>
        </w:rPr>
      </w:pPr>
      <w:r w:rsidRPr="00B71405">
        <w:rPr>
          <w:rFonts w:ascii="Times New Roman" w:hAnsi="Times New Roman"/>
          <w:sz w:val="28"/>
          <w:szCs w:val="28"/>
          <w:lang w:eastAsia="ru-RU"/>
        </w:rPr>
        <w:t>включення консолідованих карткових рахунків;</w:t>
      </w:r>
    </w:p>
    <w:p w:rsidR="009B656E" w:rsidRPr="00B71405" w:rsidRDefault="009B656E" w:rsidP="009B656E">
      <w:pPr>
        <w:spacing w:after="0" w:line="240" w:lineRule="auto"/>
        <w:ind w:firstLine="709"/>
        <w:rPr>
          <w:rFonts w:ascii="Times New Roman" w:eastAsia="Times New Roman" w:hAnsi="Times New Roman"/>
          <w:sz w:val="28"/>
          <w:szCs w:val="28"/>
        </w:rPr>
      </w:pPr>
      <w:r w:rsidRPr="00B71405">
        <w:rPr>
          <w:rFonts w:ascii="Times New Roman" w:hAnsi="Times New Roman"/>
          <w:sz w:val="28"/>
          <w:szCs w:val="28"/>
          <w:lang w:eastAsia="ru-RU"/>
        </w:rPr>
        <w:t>включення грошових коштів фізичних осіб, залучених як застава за ключі від індивідуальних сейфів.</w:t>
      </w:r>
    </w:p>
    <w:p w:rsidR="009B656E" w:rsidRDefault="009B656E" w:rsidP="009B656E">
      <w:pPr>
        <w:spacing w:after="0"/>
        <w:ind w:firstLine="567"/>
        <w:rPr>
          <w:rFonts w:ascii="Times New Roman" w:hAnsi="Times New Roman"/>
          <w:sz w:val="28"/>
          <w:szCs w:val="28"/>
          <w:lang w:eastAsia="ru-RU"/>
        </w:rPr>
      </w:pPr>
    </w:p>
    <w:p w:rsidR="009B656E" w:rsidRPr="00EC3B24" w:rsidRDefault="009B656E" w:rsidP="009B656E">
      <w:pPr>
        <w:spacing w:after="0"/>
        <w:ind w:firstLine="567"/>
        <w:jc w:val="both"/>
        <w:rPr>
          <w:rFonts w:ascii="Times New Roman" w:eastAsia="Times New Roman" w:hAnsi="Times New Roman"/>
          <w:color w:val="000000"/>
          <w:sz w:val="28"/>
          <w:szCs w:val="28"/>
        </w:rPr>
      </w:pPr>
      <w:r>
        <w:rPr>
          <w:rFonts w:ascii="Times New Roman" w:hAnsi="Times New Roman"/>
          <w:sz w:val="28"/>
          <w:szCs w:val="28"/>
          <w:lang w:eastAsia="ru-RU"/>
        </w:rPr>
        <w:t xml:space="preserve">У 2014 році під час проведення перевірок були </w:t>
      </w:r>
      <w:r w:rsidRPr="00EC3B24">
        <w:rPr>
          <w:rFonts w:ascii="Times New Roman" w:hAnsi="Times New Roman"/>
          <w:sz w:val="28"/>
          <w:szCs w:val="28"/>
          <w:lang w:eastAsia="ru-RU"/>
        </w:rPr>
        <w:t>встановлені факти порушень учасниками Ф</w:t>
      </w:r>
      <w:r>
        <w:rPr>
          <w:rFonts w:ascii="Times New Roman" w:hAnsi="Times New Roman"/>
          <w:sz w:val="28"/>
          <w:szCs w:val="28"/>
          <w:lang w:eastAsia="ru-RU"/>
        </w:rPr>
        <w:t xml:space="preserve">онду </w:t>
      </w:r>
      <w:r w:rsidRPr="00EC3B24">
        <w:rPr>
          <w:rFonts w:ascii="Times New Roman" w:hAnsi="Times New Roman"/>
          <w:sz w:val="28"/>
          <w:szCs w:val="28"/>
          <w:lang w:eastAsia="ru-RU"/>
        </w:rPr>
        <w:t>достовірності (порядку складання) звітності № 1-Ф у 57 з усіх перевірених банків, питома вага даного порушення складає 29,08% від всіх виявлених порушень</w:t>
      </w:r>
      <w:r>
        <w:rPr>
          <w:rFonts w:ascii="Times New Roman" w:hAnsi="Times New Roman"/>
          <w:sz w:val="28"/>
          <w:szCs w:val="28"/>
          <w:lang w:eastAsia="ru-RU"/>
        </w:rPr>
        <w:t>. До виявлених порушень належать:</w:t>
      </w:r>
    </w:p>
    <w:p w:rsidR="009B656E" w:rsidRPr="00B71405" w:rsidRDefault="009B656E" w:rsidP="009B656E">
      <w:pPr>
        <w:spacing w:after="0" w:line="240" w:lineRule="auto"/>
        <w:ind w:firstLine="709"/>
        <w:jc w:val="both"/>
        <w:rPr>
          <w:rFonts w:ascii="Times New Roman" w:eastAsia="Times New Roman" w:hAnsi="Times New Roman"/>
          <w:color w:val="000000"/>
          <w:sz w:val="28"/>
          <w:szCs w:val="28"/>
        </w:rPr>
      </w:pPr>
      <w:r w:rsidRPr="00B71405">
        <w:rPr>
          <w:rFonts w:ascii="Times New Roman" w:eastAsia="Times New Roman" w:hAnsi="Times New Roman"/>
          <w:color w:val="000000"/>
          <w:sz w:val="28"/>
          <w:szCs w:val="28"/>
        </w:rPr>
        <w:t>подання недостовірної інформації про кількість вкладників фізичних осіб, залишки коштів яких станом на зазначені дати дорівнювали нулю;</w:t>
      </w:r>
    </w:p>
    <w:p w:rsidR="009B656E" w:rsidRPr="00B71405" w:rsidRDefault="009B656E" w:rsidP="009B656E">
      <w:pPr>
        <w:spacing w:after="0" w:line="240" w:lineRule="auto"/>
        <w:ind w:firstLine="709"/>
        <w:jc w:val="both"/>
        <w:rPr>
          <w:rFonts w:ascii="Times New Roman" w:eastAsia="Times New Roman" w:hAnsi="Times New Roman"/>
          <w:color w:val="000000"/>
          <w:sz w:val="28"/>
          <w:szCs w:val="28"/>
        </w:rPr>
      </w:pPr>
      <w:r w:rsidRPr="00B71405">
        <w:rPr>
          <w:rFonts w:ascii="Times New Roman" w:eastAsia="Times New Roman" w:hAnsi="Times New Roman"/>
          <w:color w:val="000000"/>
          <w:sz w:val="28"/>
          <w:szCs w:val="28"/>
        </w:rPr>
        <w:t>подання недостовірної інформації про кількість фізичних осіб-підприємців, залишки коштів яких станом на зазначені дати дорівнювали нулю;</w:t>
      </w:r>
    </w:p>
    <w:p w:rsidR="009B656E" w:rsidRPr="00B71405" w:rsidRDefault="009B656E" w:rsidP="009B656E">
      <w:pPr>
        <w:spacing w:after="0" w:line="240" w:lineRule="auto"/>
        <w:ind w:firstLine="709"/>
        <w:jc w:val="both"/>
        <w:rPr>
          <w:rFonts w:ascii="Times New Roman" w:eastAsia="Times New Roman" w:hAnsi="Times New Roman"/>
          <w:color w:val="000000"/>
          <w:sz w:val="28"/>
          <w:szCs w:val="28"/>
        </w:rPr>
      </w:pPr>
      <w:r w:rsidRPr="00B71405">
        <w:rPr>
          <w:rFonts w:ascii="Times New Roman" w:eastAsia="Times New Roman" w:hAnsi="Times New Roman"/>
          <w:color w:val="000000"/>
          <w:sz w:val="28"/>
          <w:szCs w:val="28"/>
        </w:rPr>
        <w:t>подання недостовірної інформації я щодо сум коштів фізичних осіб та фізичних осіб-підприємців;</w:t>
      </w:r>
    </w:p>
    <w:p w:rsidR="009B656E" w:rsidRPr="00B71405" w:rsidRDefault="009B656E" w:rsidP="009B656E">
      <w:pPr>
        <w:spacing w:after="0" w:line="240" w:lineRule="auto"/>
        <w:ind w:firstLine="709"/>
        <w:jc w:val="both"/>
        <w:rPr>
          <w:rFonts w:ascii="Times New Roman" w:eastAsia="Times New Roman" w:hAnsi="Times New Roman"/>
          <w:color w:val="000000"/>
          <w:sz w:val="28"/>
          <w:szCs w:val="28"/>
        </w:rPr>
      </w:pPr>
      <w:r w:rsidRPr="00B71405">
        <w:rPr>
          <w:rFonts w:ascii="Times New Roman" w:eastAsia="Times New Roman" w:hAnsi="Times New Roman"/>
          <w:color w:val="000000"/>
          <w:sz w:val="28"/>
          <w:szCs w:val="28"/>
        </w:rPr>
        <w:t>про кількість вкладників фізичних осіб;</w:t>
      </w:r>
    </w:p>
    <w:p w:rsidR="009B656E" w:rsidRPr="00B71405" w:rsidRDefault="009B656E" w:rsidP="009B656E">
      <w:pPr>
        <w:spacing w:after="0" w:line="240" w:lineRule="auto"/>
        <w:ind w:firstLine="709"/>
        <w:jc w:val="both"/>
        <w:rPr>
          <w:rFonts w:ascii="Times New Roman" w:eastAsia="Times New Roman" w:hAnsi="Times New Roman"/>
          <w:color w:val="000000"/>
          <w:sz w:val="28"/>
          <w:szCs w:val="28"/>
        </w:rPr>
      </w:pPr>
      <w:r w:rsidRPr="00B71405">
        <w:rPr>
          <w:rFonts w:ascii="Times New Roman" w:eastAsia="Times New Roman" w:hAnsi="Times New Roman"/>
          <w:color w:val="000000"/>
          <w:sz w:val="28"/>
          <w:szCs w:val="28"/>
        </w:rPr>
        <w:t xml:space="preserve">подання недостовірної інформації про кількість фізичних </w:t>
      </w:r>
      <w:proofErr w:type="spellStart"/>
      <w:r w:rsidRPr="00B71405">
        <w:rPr>
          <w:rFonts w:ascii="Times New Roman" w:eastAsia="Times New Roman" w:hAnsi="Times New Roman"/>
          <w:color w:val="000000"/>
          <w:sz w:val="28"/>
          <w:szCs w:val="28"/>
        </w:rPr>
        <w:t>осіб-</w:t>
      </w:r>
      <w:proofErr w:type="spellEnd"/>
      <w:r w:rsidRPr="00B71405">
        <w:rPr>
          <w:rFonts w:ascii="Times New Roman" w:eastAsia="Times New Roman" w:hAnsi="Times New Roman"/>
          <w:color w:val="000000"/>
          <w:sz w:val="28"/>
          <w:szCs w:val="28"/>
        </w:rPr>
        <w:t xml:space="preserve"> підприємців.</w:t>
      </w:r>
    </w:p>
    <w:p w:rsidR="009B656E" w:rsidRDefault="009B656E" w:rsidP="009B656E">
      <w:pPr>
        <w:spacing w:after="0" w:line="240" w:lineRule="auto"/>
        <w:ind w:firstLine="709"/>
        <w:jc w:val="both"/>
        <w:rPr>
          <w:rFonts w:ascii="Times New Roman" w:hAnsi="Times New Roman"/>
          <w:sz w:val="28"/>
          <w:szCs w:val="28"/>
          <w:highlight w:val="yellow"/>
        </w:rPr>
      </w:pPr>
    </w:p>
    <w:p w:rsidR="009B656E" w:rsidRPr="006B7547" w:rsidRDefault="009B656E" w:rsidP="009B656E">
      <w:pPr>
        <w:spacing w:after="0"/>
        <w:ind w:firstLine="567"/>
        <w:jc w:val="both"/>
        <w:rPr>
          <w:rFonts w:ascii="Times New Roman" w:hAnsi="Times New Roman"/>
          <w:sz w:val="28"/>
          <w:szCs w:val="28"/>
          <w:lang w:val="ru-RU" w:eastAsia="ru-RU"/>
        </w:rPr>
      </w:pPr>
      <w:r w:rsidRPr="006B7547">
        <w:rPr>
          <w:rFonts w:ascii="Times New Roman" w:hAnsi="Times New Roman"/>
          <w:sz w:val="28"/>
          <w:szCs w:val="28"/>
        </w:rPr>
        <w:t xml:space="preserve">У 2015 році  </w:t>
      </w:r>
      <w:r w:rsidRPr="006B7547">
        <w:rPr>
          <w:rFonts w:ascii="Times New Roman" w:hAnsi="Times New Roman"/>
          <w:sz w:val="28"/>
          <w:szCs w:val="28"/>
          <w:lang w:eastAsia="ru-RU"/>
        </w:rPr>
        <w:t>в</w:t>
      </w:r>
      <w:r>
        <w:rPr>
          <w:rFonts w:ascii="Times New Roman" w:hAnsi="Times New Roman"/>
          <w:sz w:val="28"/>
          <w:szCs w:val="28"/>
          <w:lang w:eastAsia="ru-RU"/>
        </w:rPr>
        <w:t xml:space="preserve"> ході</w:t>
      </w:r>
      <w:r w:rsidRPr="00C44C13">
        <w:rPr>
          <w:rFonts w:ascii="Times New Roman" w:hAnsi="Times New Roman"/>
          <w:sz w:val="28"/>
          <w:szCs w:val="28"/>
          <w:lang w:eastAsia="ru-RU"/>
        </w:rPr>
        <w:t xml:space="preserve"> проведених перевірок встановлені</w:t>
      </w:r>
      <w:r>
        <w:rPr>
          <w:rFonts w:ascii="Times New Roman" w:hAnsi="Times New Roman"/>
          <w:sz w:val="28"/>
          <w:szCs w:val="28"/>
          <w:lang w:eastAsia="ru-RU"/>
        </w:rPr>
        <w:t xml:space="preserve"> факти порушень учасниками Фонду</w:t>
      </w:r>
      <w:r w:rsidRPr="00C44C13">
        <w:rPr>
          <w:rFonts w:ascii="Times New Roman" w:hAnsi="Times New Roman"/>
          <w:sz w:val="28"/>
          <w:szCs w:val="28"/>
          <w:lang w:eastAsia="ru-RU"/>
        </w:rPr>
        <w:t xml:space="preserve"> достовірності (порядку складання) звітності № 1-Ф у 25 з усіх перевірених банків, питома вага даного порушення складає 22,73% від всіх виявлених порушень.</w:t>
      </w:r>
      <w:r>
        <w:rPr>
          <w:rFonts w:ascii="Times New Roman" w:hAnsi="Times New Roman"/>
          <w:sz w:val="28"/>
          <w:szCs w:val="28"/>
          <w:lang w:eastAsia="ru-RU"/>
        </w:rPr>
        <w:t xml:space="preserve"> Серед них</w:t>
      </w:r>
      <w:r w:rsidRPr="009B656E">
        <w:rPr>
          <w:rFonts w:ascii="Times New Roman" w:hAnsi="Times New Roman"/>
          <w:sz w:val="28"/>
          <w:szCs w:val="28"/>
          <w:lang w:val="ru-RU" w:eastAsia="ru-RU"/>
        </w:rPr>
        <w:t>:</w:t>
      </w:r>
    </w:p>
    <w:p w:rsidR="009B656E" w:rsidRPr="006B7547" w:rsidRDefault="009B656E" w:rsidP="009B656E">
      <w:pPr>
        <w:tabs>
          <w:tab w:val="left" w:pos="851"/>
        </w:tabs>
        <w:spacing w:after="0" w:line="240" w:lineRule="auto"/>
        <w:ind w:firstLine="709"/>
        <w:jc w:val="both"/>
        <w:rPr>
          <w:rFonts w:ascii="Times New Roman" w:eastAsia="Times New Roman" w:hAnsi="Times New Roman"/>
          <w:sz w:val="28"/>
          <w:szCs w:val="28"/>
        </w:rPr>
      </w:pPr>
      <w:r w:rsidRPr="006B7547">
        <w:rPr>
          <w:rFonts w:ascii="Times New Roman" w:eastAsia="Times New Roman" w:hAnsi="Times New Roman"/>
          <w:color w:val="000000"/>
          <w:sz w:val="28"/>
          <w:szCs w:val="28"/>
        </w:rPr>
        <w:t xml:space="preserve">подання недостовірної інформації </w:t>
      </w:r>
      <w:r w:rsidRPr="006B7547">
        <w:rPr>
          <w:rFonts w:ascii="Times New Roman" w:eastAsia="Times New Roman" w:hAnsi="Times New Roman"/>
          <w:sz w:val="28"/>
          <w:szCs w:val="28"/>
        </w:rPr>
        <w:t>про кількість вкладників фізичних осіб, залишки коштів яких станом на зазначені дати дорівнювали нулю;</w:t>
      </w:r>
    </w:p>
    <w:p w:rsidR="009B656E" w:rsidRPr="006B7547" w:rsidRDefault="009B656E" w:rsidP="009B656E">
      <w:pPr>
        <w:tabs>
          <w:tab w:val="left" w:pos="851"/>
        </w:tabs>
        <w:spacing w:after="0" w:line="240" w:lineRule="auto"/>
        <w:ind w:firstLine="709"/>
        <w:jc w:val="both"/>
        <w:rPr>
          <w:rFonts w:ascii="Times New Roman" w:eastAsia="Times New Roman" w:hAnsi="Times New Roman"/>
          <w:sz w:val="28"/>
          <w:szCs w:val="28"/>
        </w:rPr>
      </w:pPr>
      <w:r w:rsidRPr="006B7547">
        <w:rPr>
          <w:rFonts w:ascii="Times New Roman" w:eastAsia="Times New Roman" w:hAnsi="Times New Roman"/>
          <w:color w:val="000000"/>
          <w:sz w:val="28"/>
          <w:szCs w:val="28"/>
        </w:rPr>
        <w:lastRenderedPageBreak/>
        <w:t xml:space="preserve">подання недостовірної інформації </w:t>
      </w:r>
      <w:r w:rsidRPr="006B7547">
        <w:rPr>
          <w:rFonts w:ascii="Times New Roman" w:eastAsia="Times New Roman" w:hAnsi="Times New Roman"/>
          <w:sz w:val="28"/>
          <w:szCs w:val="28"/>
        </w:rPr>
        <w:t>про кількість фізичних осіб-підприємців, залишки коштів яких станом на зазначені дати дорівнювали нулю;</w:t>
      </w:r>
    </w:p>
    <w:p w:rsidR="009B656E" w:rsidRPr="006B7547" w:rsidRDefault="009B656E" w:rsidP="009B656E">
      <w:pPr>
        <w:tabs>
          <w:tab w:val="left" w:pos="851"/>
        </w:tabs>
        <w:spacing w:after="0" w:line="240" w:lineRule="auto"/>
        <w:ind w:firstLine="709"/>
        <w:jc w:val="both"/>
        <w:rPr>
          <w:rFonts w:ascii="Times New Roman" w:eastAsia="Times New Roman" w:hAnsi="Times New Roman"/>
          <w:sz w:val="28"/>
          <w:szCs w:val="28"/>
        </w:rPr>
      </w:pPr>
      <w:r w:rsidRPr="006B7547">
        <w:rPr>
          <w:rFonts w:ascii="Times New Roman" w:eastAsia="Times New Roman" w:hAnsi="Times New Roman"/>
          <w:color w:val="000000"/>
          <w:sz w:val="28"/>
          <w:szCs w:val="28"/>
        </w:rPr>
        <w:t xml:space="preserve">подання недостовірної інформації </w:t>
      </w:r>
      <w:r w:rsidRPr="006B7547">
        <w:rPr>
          <w:rFonts w:ascii="Times New Roman" w:eastAsia="Times New Roman" w:hAnsi="Times New Roman"/>
          <w:sz w:val="28"/>
          <w:szCs w:val="28"/>
        </w:rPr>
        <w:t>щодо кількості та сум коштів фізичних осіб та фізичних осіб-підприємців;</w:t>
      </w:r>
    </w:p>
    <w:p w:rsidR="009B656E" w:rsidRDefault="009B656E" w:rsidP="009B656E">
      <w:pPr>
        <w:tabs>
          <w:tab w:val="left" w:pos="851"/>
        </w:tabs>
        <w:spacing w:after="0" w:line="240" w:lineRule="auto"/>
        <w:ind w:firstLine="709"/>
        <w:jc w:val="both"/>
        <w:rPr>
          <w:rFonts w:ascii="Times New Roman" w:eastAsia="Times New Roman" w:hAnsi="Times New Roman"/>
          <w:sz w:val="28"/>
          <w:szCs w:val="28"/>
          <w:lang w:val="ru-RU"/>
        </w:rPr>
      </w:pPr>
      <w:r w:rsidRPr="006B7547">
        <w:rPr>
          <w:rFonts w:ascii="Times New Roman" w:eastAsia="Times New Roman" w:hAnsi="Times New Roman"/>
          <w:color w:val="000000"/>
          <w:sz w:val="28"/>
          <w:szCs w:val="28"/>
        </w:rPr>
        <w:t xml:space="preserve">подання недостовірної інформації </w:t>
      </w:r>
      <w:r w:rsidRPr="006B7547">
        <w:rPr>
          <w:rFonts w:ascii="Times New Roman" w:eastAsia="Times New Roman" w:hAnsi="Times New Roman"/>
          <w:sz w:val="28"/>
          <w:szCs w:val="28"/>
        </w:rPr>
        <w:t>про кількість та суми коштів вкладників фізичних осіб.</w:t>
      </w:r>
    </w:p>
    <w:p w:rsidR="009B656E" w:rsidRPr="006B7547" w:rsidRDefault="009B656E" w:rsidP="009B656E">
      <w:pPr>
        <w:tabs>
          <w:tab w:val="left" w:pos="851"/>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Отримані кількісні показники свідчать про результативність прийняття регуляторного акта, так як було зафіксовано зменшення як кількості порушень та і зміна їх змісту, так і зменшення їх питомої ваги у загальній кількості виявлених порушень. </w:t>
      </w:r>
    </w:p>
    <w:p w:rsidR="009B656E" w:rsidRPr="006B7547" w:rsidRDefault="009B656E" w:rsidP="009B656E">
      <w:pPr>
        <w:spacing w:after="0" w:line="240" w:lineRule="auto"/>
        <w:ind w:firstLine="708"/>
        <w:jc w:val="both"/>
        <w:rPr>
          <w:rFonts w:ascii="Times New Roman" w:hAnsi="Times New Roman"/>
          <w:sz w:val="28"/>
          <w:szCs w:val="28"/>
        </w:rPr>
      </w:pPr>
      <w:r w:rsidRPr="00936935">
        <w:rPr>
          <w:rFonts w:ascii="Times New Roman" w:hAnsi="Times New Roman"/>
          <w:sz w:val="28"/>
          <w:szCs w:val="28"/>
        </w:rPr>
        <w:t>До якісних значень показників результативності відносяться подання більш деталізованої інформації щодо видів та строків вкладів в учасника Фонду, необхідної для виконання Фондом своїх функцій в системі гарантування вкладів фізичних осіб, у тому числі пов’язаних з виведенням неплатоспроможних банків з ринку</w:t>
      </w:r>
      <w:r w:rsidRPr="006B7547">
        <w:rPr>
          <w:rFonts w:ascii="Times New Roman" w:hAnsi="Times New Roman"/>
          <w:sz w:val="28"/>
          <w:szCs w:val="28"/>
        </w:rPr>
        <w:t>.</w:t>
      </w:r>
    </w:p>
    <w:p w:rsidR="00A25856" w:rsidRDefault="00A25856" w:rsidP="00495995">
      <w:pPr>
        <w:pStyle w:val="a5"/>
        <w:spacing w:before="0" w:beforeAutospacing="0" w:after="0" w:afterAutospacing="0"/>
        <w:ind w:firstLine="360"/>
        <w:jc w:val="both"/>
        <w:rPr>
          <w:sz w:val="28"/>
          <w:szCs w:val="28"/>
        </w:rPr>
      </w:pPr>
    </w:p>
    <w:p w:rsidR="009B656E" w:rsidRDefault="009B656E" w:rsidP="00495995">
      <w:pPr>
        <w:pStyle w:val="a5"/>
        <w:spacing w:before="0" w:beforeAutospacing="0" w:after="0" w:afterAutospacing="0"/>
        <w:ind w:firstLine="360"/>
        <w:jc w:val="both"/>
        <w:rPr>
          <w:sz w:val="28"/>
          <w:szCs w:val="28"/>
        </w:rPr>
      </w:pPr>
    </w:p>
    <w:p w:rsidR="00A25856" w:rsidRDefault="00A25856" w:rsidP="00495995">
      <w:pPr>
        <w:pStyle w:val="NormalText"/>
        <w:numPr>
          <w:ilvl w:val="0"/>
          <w:numId w:val="1"/>
        </w:numPr>
        <w:rPr>
          <w:rFonts w:ascii="Times New Roman" w:hAnsi="Times New Roman"/>
          <w:b/>
          <w:sz w:val="28"/>
          <w:szCs w:val="28"/>
          <w:lang w:val="uk-UA"/>
        </w:rPr>
      </w:pPr>
      <w:r w:rsidRPr="00F870E2">
        <w:rPr>
          <w:rFonts w:ascii="Times New Roman" w:hAnsi="Times New Roman"/>
          <w:b/>
          <w:sz w:val="28"/>
          <w:szCs w:val="28"/>
          <w:lang w:val="uk-UA"/>
        </w:rPr>
        <w:t>Оцінка результативності реалізації регуляторного акта та ступеня досягнення визначених цілей</w:t>
      </w:r>
    </w:p>
    <w:p w:rsidR="00B36376" w:rsidRDefault="00A25856" w:rsidP="00495995">
      <w:pPr>
        <w:pStyle w:val="NormalText"/>
        <w:rPr>
          <w:rFonts w:ascii="Times New Roman" w:hAnsi="Times New Roman"/>
          <w:sz w:val="28"/>
          <w:szCs w:val="28"/>
          <w:lang w:val="uk-UA" w:eastAsia="uk-UA"/>
        </w:rPr>
      </w:pPr>
      <w:r w:rsidRPr="00792E4F">
        <w:rPr>
          <w:rFonts w:ascii="Times New Roman" w:hAnsi="Times New Roman"/>
          <w:sz w:val="28"/>
          <w:szCs w:val="28"/>
          <w:lang w:val="uk-UA" w:eastAsia="uk-UA"/>
        </w:rPr>
        <w:t>Шля</w:t>
      </w:r>
      <w:r>
        <w:rPr>
          <w:rFonts w:ascii="Times New Roman" w:hAnsi="Times New Roman"/>
          <w:sz w:val="28"/>
          <w:szCs w:val="28"/>
          <w:lang w:val="uk-UA" w:eastAsia="uk-UA"/>
        </w:rPr>
        <w:t xml:space="preserve">хом запровадження цього регуляторного акта досягнення визначених цілей є можливим. </w:t>
      </w:r>
      <w:r w:rsidR="00B36376">
        <w:rPr>
          <w:rFonts w:ascii="Times New Roman" w:hAnsi="Times New Roman"/>
          <w:sz w:val="28"/>
          <w:szCs w:val="28"/>
          <w:lang w:val="uk-UA" w:eastAsia="uk-UA"/>
        </w:rPr>
        <w:t>Подальші висновки щодо результативності регуляторного акту можна буде зробити в процесі проведення відстежень в рамках базового документа.</w:t>
      </w:r>
    </w:p>
    <w:p w:rsidR="00A25856" w:rsidRDefault="00A25856" w:rsidP="00495995">
      <w:pPr>
        <w:spacing w:after="0" w:line="240" w:lineRule="auto"/>
        <w:ind w:firstLine="567"/>
        <w:jc w:val="both"/>
        <w:rPr>
          <w:rFonts w:ascii="Times New Roman" w:hAnsi="Times New Roman"/>
          <w:sz w:val="28"/>
          <w:szCs w:val="28"/>
        </w:rPr>
      </w:pPr>
      <w:r w:rsidRPr="00A931AB">
        <w:rPr>
          <w:rFonts w:ascii="Times New Roman" w:hAnsi="Times New Roman"/>
          <w:sz w:val="28"/>
          <w:szCs w:val="28"/>
        </w:rPr>
        <w:t>Перешкод для реалізації норм цього регуляторного акту немає.</w:t>
      </w:r>
      <w:r w:rsidR="00B36376">
        <w:rPr>
          <w:rFonts w:ascii="Times New Roman" w:hAnsi="Times New Roman"/>
          <w:sz w:val="28"/>
          <w:szCs w:val="28"/>
        </w:rPr>
        <w:t xml:space="preserve"> </w:t>
      </w:r>
      <w:r w:rsidRPr="00A931AB">
        <w:rPr>
          <w:rFonts w:ascii="Times New Roman" w:hAnsi="Times New Roman"/>
          <w:sz w:val="28"/>
          <w:szCs w:val="28"/>
        </w:rPr>
        <w:t xml:space="preserve">Негативних </w:t>
      </w:r>
      <w:r>
        <w:rPr>
          <w:rFonts w:ascii="Times New Roman" w:hAnsi="Times New Roman"/>
          <w:sz w:val="28"/>
          <w:szCs w:val="28"/>
        </w:rPr>
        <w:t>наслідків</w:t>
      </w:r>
      <w:r w:rsidRPr="00A931AB">
        <w:rPr>
          <w:rFonts w:ascii="Times New Roman" w:hAnsi="Times New Roman"/>
          <w:sz w:val="28"/>
          <w:szCs w:val="28"/>
        </w:rPr>
        <w:t xml:space="preserve"> прийняття регуляторного акта не очікується.</w:t>
      </w:r>
    </w:p>
    <w:p w:rsidR="00A25856" w:rsidRDefault="00A25856" w:rsidP="00495995">
      <w:pPr>
        <w:spacing w:after="0" w:line="240" w:lineRule="auto"/>
        <w:ind w:firstLine="709"/>
        <w:jc w:val="both"/>
        <w:rPr>
          <w:rFonts w:ascii="Times New Roman" w:hAnsi="Times New Roman"/>
          <w:sz w:val="28"/>
          <w:szCs w:val="28"/>
        </w:rPr>
      </w:pPr>
    </w:p>
    <w:p w:rsidR="00A25856" w:rsidRDefault="00A25856" w:rsidP="00495995">
      <w:pPr>
        <w:spacing w:after="0" w:line="240" w:lineRule="auto"/>
        <w:ind w:firstLine="709"/>
        <w:jc w:val="both"/>
        <w:rPr>
          <w:rFonts w:ascii="Times New Roman" w:hAnsi="Times New Roman"/>
          <w:sz w:val="28"/>
          <w:szCs w:val="28"/>
        </w:rPr>
      </w:pPr>
    </w:p>
    <w:p w:rsidR="00A25856" w:rsidRPr="00D7000C" w:rsidRDefault="00B36376" w:rsidP="00495995">
      <w:pPr>
        <w:spacing w:after="0" w:line="240" w:lineRule="auto"/>
        <w:jc w:val="both"/>
        <w:rPr>
          <w:rFonts w:ascii="Times New Roman" w:hAnsi="Times New Roman"/>
          <w:b/>
          <w:sz w:val="28"/>
          <w:szCs w:val="28"/>
        </w:rPr>
      </w:pPr>
      <w:r>
        <w:rPr>
          <w:rFonts w:ascii="Times New Roman" w:hAnsi="Times New Roman"/>
          <w:b/>
          <w:sz w:val="28"/>
          <w:szCs w:val="28"/>
        </w:rPr>
        <w:t>Директор-розпорядник</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К</w:t>
      </w:r>
      <w:r w:rsidR="00A25856" w:rsidRPr="00D7000C">
        <w:rPr>
          <w:rFonts w:ascii="Times New Roman" w:hAnsi="Times New Roman"/>
          <w:b/>
          <w:sz w:val="28"/>
          <w:szCs w:val="28"/>
        </w:rPr>
        <w:t>.</w:t>
      </w:r>
      <w:r>
        <w:rPr>
          <w:rFonts w:ascii="Times New Roman" w:hAnsi="Times New Roman"/>
          <w:b/>
          <w:sz w:val="28"/>
          <w:szCs w:val="28"/>
        </w:rPr>
        <w:t xml:space="preserve">М. </w:t>
      </w:r>
      <w:proofErr w:type="spellStart"/>
      <w:r>
        <w:rPr>
          <w:rFonts w:ascii="Times New Roman" w:hAnsi="Times New Roman"/>
          <w:b/>
          <w:sz w:val="28"/>
          <w:szCs w:val="28"/>
        </w:rPr>
        <w:t>Ворушилін</w:t>
      </w:r>
      <w:proofErr w:type="spellEnd"/>
    </w:p>
    <w:p w:rsidR="00A25856" w:rsidRDefault="00A25856" w:rsidP="00495995">
      <w:pPr>
        <w:spacing w:after="0" w:line="240" w:lineRule="auto"/>
        <w:ind w:firstLine="709"/>
        <w:jc w:val="both"/>
        <w:rPr>
          <w:rFonts w:ascii="Times New Roman" w:hAnsi="Times New Roman"/>
          <w:sz w:val="28"/>
          <w:szCs w:val="28"/>
        </w:rPr>
      </w:pPr>
    </w:p>
    <w:p w:rsidR="00A25856" w:rsidRPr="00364582" w:rsidRDefault="00A25856" w:rsidP="00495995">
      <w:pPr>
        <w:spacing w:after="0" w:line="240" w:lineRule="auto"/>
        <w:ind w:firstLine="709"/>
        <w:jc w:val="both"/>
        <w:rPr>
          <w:rFonts w:ascii="Times New Roman" w:hAnsi="Times New Roman"/>
          <w:sz w:val="28"/>
          <w:szCs w:val="28"/>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B36376" w:rsidRDefault="00B36376" w:rsidP="00495995">
      <w:pPr>
        <w:spacing w:after="0" w:line="240" w:lineRule="auto"/>
        <w:jc w:val="both"/>
        <w:rPr>
          <w:rFonts w:ascii="Times New Roman" w:hAnsi="Times New Roman"/>
          <w:sz w:val="20"/>
          <w:szCs w:val="20"/>
        </w:rPr>
      </w:pPr>
    </w:p>
    <w:p w:rsidR="00B36376" w:rsidRDefault="00B3637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tbl>
      <w:tblPr>
        <w:tblW w:w="9576" w:type="dxa"/>
        <w:tblLook w:val="04A0"/>
      </w:tblPr>
      <w:tblGrid>
        <w:gridCol w:w="3267"/>
        <w:gridCol w:w="2228"/>
        <w:gridCol w:w="2551"/>
        <w:gridCol w:w="1530"/>
      </w:tblGrid>
      <w:tr w:rsidR="00BE38CC" w:rsidTr="00BE38CC">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BE38CC" w:rsidRDefault="00BE38CC">
            <w:pPr>
              <w:spacing w:after="0" w:line="240" w:lineRule="auto"/>
              <w:jc w:val="center"/>
              <w:rPr>
                <w:rFonts w:ascii="Times New Roman" w:eastAsia="Calibri" w:hAnsi="Times New Roman" w:cs="Times New Roman"/>
                <w:b/>
                <w:bCs/>
                <w:color w:val="000000"/>
                <w:sz w:val="24"/>
                <w:szCs w:val="24"/>
                <w:lang w:eastAsia="en-US"/>
              </w:rPr>
            </w:pPr>
            <w:r>
              <w:rPr>
                <w:rFonts w:ascii="Times New Roman" w:hAnsi="Times New Roman"/>
                <w:b/>
                <w:bCs/>
                <w:color w:val="000000"/>
                <w:sz w:val="24"/>
                <w:szCs w:val="24"/>
              </w:rPr>
              <w:lastRenderedPageBreak/>
              <w:t>Підрозділ/</w:t>
            </w:r>
          </w:p>
          <w:p w:rsidR="00BE38CC" w:rsidRDefault="00BE38CC">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rPr>
              <w:t>посадова особа</w:t>
            </w:r>
          </w:p>
        </w:tc>
        <w:tc>
          <w:tcPr>
            <w:tcW w:w="2228"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rPr>
              <w:t>П.І.Б.</w:t>
            </w:r>
          </w:p>
        </w:tc>
        <w:tc>
          <w:tcPr>
            <w:tcW w:w="2551"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rPr>
              <w:t>Підпис</w:t>
            </w:r>
          </w:p>
        </w:tc>
        <w:tc>
          <w:tcPr>
            <w:tcW w:w="1530"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jc w:val="center"/>
              <w:rPr>
                <w:rFonts w:ascii="Times New Roman" w:hAnsi="Times New Roman"/>
                <w:b/>
                <w:bCs/>
                <w:color w:val="000000"/>
                <w:sz w:val="24"/>
                <w:szCs w:val="24"/>
                <w:lang w:eastAsia="en-US"/>
              </w:rPr>
            </w:pPr>
            <w:r>
              <w:rPr>
                <w:rFonts w:ascii="Times New Roman" w:hAnsi="Times New Roman"/>
                <w:b/>
                <w:bCs/>
                <w:color w:val="000000"/>
                <w:sz w:val="24"/>
                <w:szCs w:val="24"/>
              </w:rPr>
              <w:t>Дата</w:t>
            </w:r>
          </w:p>
        </w:tc>
      </w:tr>
      <w:tr w:rsidR="00BE38CC" w:rsidTr="00BE38CC">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BE38CC" w:rsidRDefault="00BE38CC">
            <w:pPr>
              <w:spacing w:after="0" w:line="240" w:lineRule="auto"/>
              <w:rPr>
                <w:rFonts w:ascii="Times New Roman" w:hAnsi="Times New Roman"/>
                <w:sz w:val="24"/>
                <w:szCs w:val="24"/>
                <w:lang w:eastAsia="en-US"/>
              </w:rPr>
            </w:pPr>
            <w:r>
              <w:rPr>
                <w:rFonts w:ascii="Times New Roman" w:hAnsi="Times New Roman"/>
                <w:sz w:val="24"/>
                <w:szCs w:val="24"/>
              </w:rPr>
              <w:t>Заступник директора-розпорядника</w:t>
            </w:r>
          </w:p>
        </w:tc>
        <w:tc>
          <w:tcPr>
            <w:tcW w:w="2228"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rPr>
                <w:rFonts w:ascii="Times New Roman" w:hAnsi="Times New Roman"/>
                <w:sz w:val="24"/>
                <w:szCs w:val="24"/>
                <w:lang w:eastAsia="en-US"/>
              </w:rPr>
            </w:pPr>
            <w:proofErr w:type="spellStart"/>
            <w:r>
              <w:rPr>
                <w:rFonts w:ascii="Times New Roman" w:hAnsi="Times New Roman"/>
                <w:sz w:val="24"/>
                <w:szCs w:val="24"/>
              </w:rPr>
              <w:t>Оленчик</w:t>
            </w:r>
            <w:proofErr w:type="spellEnd"/>
            <w:r>
              <w:rPr>
                <w:rFonts w:ascii="Times New Roman" w:hAnsi="Times New Roman"/>
                <w:sz w:val="24"/>
                <w:szCs w:val="24"/>
              </w:rPr>
              <w:t xml:space="preserve"> А.Я.</w:t>
            </w:r>
          </w:p>
        </w:tc>
        <w:tc>
          <w:tcPr>
            <w:tcW w:w="2551"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c>
          <w:tcPr>
            <w:tcW w:w="1530"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r>
      <w:tr w:rsidR="00BE38CC" w:rsidTr="00BE38CC">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BE38CC" w:rsidRDefault="00BE38CC">
            <w:pPr>
              <w:spacing w:after="0" w:line="240" w:lineRule="auto"/>
              <w:rPr>
                <w:rFonts w:ascii="Times New Roman" w:hAnsi="Times New Roman"/>
                <w:sz w:val="24"/>
                <w:szCs w:val="24"/>
                <w:lang w:eastAsia="en-US"/>
              </w:rPr>
            </w:pPr>
            <w:r>
              <w:rPr>
                <w:rFonts w:ascii="Times New Roman" w:hAnsi="Times New Roman"/>
                <w:sz w:val="24"/>
                <w:szCs w:val="24"/>
              </w:rPr>
              <w:t>Відділ стратегії та нормативно-методологічного забезпечення/начальник відділу</w:t>
            </w:r>
          </w:p>
        </w:tc>
        <w:tc>
          <w:tcPr>
            <w:tcW w:w="2228"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rPr>
                <w:rFonts w:ascii="Times New Roman" w:hAnsi="Times New Roman"/>
                <w:sz w:val="24"/>
                <w:szCs w:val="24"/>
                <w:lang w:eastAsia="en-US"/>
              </w:rPr>
            </w:pPr>
            <w:r>
              <w:rPr>
                <w:rFonts w:ascii="Times New Roman" w:hAnsi="Times New Roman"/>
                <w:sz w:val="24"/>
                <w:szCs w:val="24"/>
              </w:rPr>
              <w:t>Лапаєва Н.О.</w:t>
            </w:r>
          </w:p>
        </w:tc>
        <w:tc>
          <w:tcPr>
            <w:tcW w:w="2551"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c>
          <w:tcPr>
            <w:tcW w:w="1530"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r>
      <w:tr w:rsidR="00BE38CC" w:rsidTr="00BE38CC">
        <w:trPr>
          <w:trHeight w:val="1075"/>
        </w:trPr>
        <w:tc>
          <w:tcPr>
            <w:tcW w:w="3267" w:type="dxa"/>
            <w:tcBorders>
              <w:top w:val="single" w:sz="4" w:space="0" w:color="auto"/>
              <w:left w:val="single" w:sz="4" w:space="0" w:color="auto"/>
              <w:bottom w:val="single" w:sz="4" w:space="0" w:color="auto"/>
              <w:right w:val="single" w:sz="4" w:space="0" w:color="auto"/>
            </w:tcBorders>
            <w:vAlign w:val="bottom"/>
            <w:hideMark/>
          </w:tcPr>
          <w:p w:rsidR="00BE38CC" w:rsidRDefault="00BE38CC">
            <w:pPr>
              <w:spacing w:after="0" w:line="240" w:lineRule="auto"/>
              <w:rPr>
                <w:rFonts w:ascii="Times New Roman" w:hAnsi="Times New Roman"/>
                <w:sz w:val="24"/>
                <w:szCs w:val="24"/>
                <w:lang w:eastAsia="en-US"/>
              </w:rPr>
            </w:pPr>
            <w:r>
              <w:rPr>
                <w:rFonts w:ascii="Times New Roman" w:eastAsia="Times New Roman" w:hAnsi="Times New Roman"/>
                <w:sz w:val="24"/>
                <w:szCs w:val="24"/>
              </w:rPr>
              <w:t>Відділ стратегії та нормативно-методологічного забезпечення/</w:t>
            </w:r>
            <w:r>
              <w:rPr>
                <w:rFonts w:ascii="Times New Roman" w:hAnsi="Times New Roman"/>
                <w:sz w:val="24"/>
                <w:szCs w:val="24"/>
              </w:rPr>
              <w:t xml:space="preserve"> професіонал 1 категорії</w:t>
            </w:r>
          </w:p>
        </w:tc>
        <w:tc>
          <w:tcPr>
            <w:tcW w:w="2228" w:type="dxa"/>
            <w:tcBorders>
              <w:top w:val="single" w:sz="4" w:space="0" w:color="auto"/>
              <w:left w:val="nil"/>
              <w:bottom w:val="single" w:sz="4" w:space="0" w:color="auto"/>
              <w:right w:val="single" w:sz="4" w:space="0" w:color="auto"/>
            </w:tcBorders>
            <w:noWrap/>
            <w:vAlign w:val="bottom"/>
            <w:hideMark/>
          </w:tcPr>
          <w:p w:rsidR="00BE38CC" w:rsidRDefault="00BE38CC">
            <w:pPr>
              <w:spacing w:after="0" w:line="240" w:lineRule="auto"/>
              <w:rPr>
                <w:rFonts w:ascii="Times New Roman" w:hAnsi="Times New Roman"/>
                <w:sz w:val="24"/>
                <w:szCs w:val="24"/>
                <w:lang w:eastAsia="en-US"/>
              </w:rPr>
            </w:pPr>
            <w:r>
              <w:rPr>
                <w:rFonts w:ascii="Times New Roman" w:hAnsi="Times New Roman"/>
                <w:sz w:val="24"/>
                <w:szCs w:val="24"/>
              </w:rPr>
              <w:t>Хоменко М.С.</w:t>
            </w:r>
          </w:p>
        </w:tc>
        <w:tc>
          <w:tcPr>
            <w:tcW w:w="2551"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c>
          <w:tcPr>
            <w:tcW w:w="1530" w:type="dxa"/>
            <w:tcBorders>
              <w:top w:val="single" w:sz="4" w:space="0" w:color="auto"/>
              <w:left w:val="nil"/>
              <w:bottom w:val="single" w:sz="4" w:space="0" w:color="auto"/>
              <w:right w:val="single" w:sz="4" w:space="0" w:color="auto"/>
            </w:tcBorders>
            <w:noWrap/>
            <w:vAlign w:val="bottom"/>
          </w:tcPr>
          <w:p w:rsidR="00BE38CC" w:rsidRDefault="00BE38CC">
            <w:pPr>
              <w:spacing w:after="0" w:line="240" w:lineRule="auto"/>
              <w:rPr>
                <w:rFonts w:ascii="Times New Roman" w:hAnsi="Times New Roman"/>
                <w:sz w:val="24"/>
                <w:szCs w:val="24"/>
                <w:lang w:eastAsia="en-US"/>
              </w:rPr>
            </w:pPr>
          </w:p>
        </w:tc>
      </w:tr>
    </w:tbl>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line="240" w:lineRule="auto"/>
        <w:jc w:val="both"/>
        <w:rPr>
          <w:rFonts w:ascii="Times New Roman" w:hAnsi="Times New Roman"/>
          <w:sz w:val="20"/>
          <w:szCs w:val="20"/>
        </w:rPr>
      </w:pPr>
    </w:p>
    <w:p w:rsidR="00A25856" w:rsidRDefault="00A25856" w:rsidP="00495995">
      <w:pPr>
        <w:spacing w:after="0"/>
      </w:pPr>
    </w:p>
    <w:p w:rsidR="00DF2DA4" w:rsidRDefault="00DF2DA4" w:rsidP="00495995">
      <w:pPr>
        <w:spacing w:after="0"/>
      </w:pPr>
    </w:p>
    <w:sectPr w:rsidR="00DF2DA4" w:rsidSect="00E86E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39D"/>
    <w:multiLevelType w:val="hybridMultilevel"/>
    <w:tmpl w:val="6B12216A"/>
    <w:lvl w:ilvl="0" w:tplc="38B87BC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4208781D"/>
    <w:multiLevelType w:val="hybridMultilevel"/>
    <w:tmpl w:val="A87E94C0"/>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6AE92E8C"/>
    <w:multiLevelType w:val="hybridMultilevel"/>
    <w:tmpl w:val="C2E43892"/>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25856"/>
    <w:rsid w:val="00015304"/>
    <w:rsid w:val="000B3310"/>
    <w:rsid w:val="00132F8C"/>
    <w:rsid w:val="002B02E1"/>
    <w:rsid w:val="002C3408"/>
    <w:rsid w:val="003016C1"/>
    <w:rsid w:val="003F0F0B"/>
    <w:rsid w:val="00495995"/>
    <w:rsid w:val="004A26D4"/>
    <w:rsid w:val="004B60DD"/>
    <w:rsid w:val="00526352"/>
    <w:rsid w:val="005F59BF"/>
    <w:rsid w:val="006E6716"/>
    <w:rsid w:val="007424EA"/>
    <w:rsid w:val="007975D7"/>
    <w:rsid w:val="008605F2"/>
    <w:rsid w:val="009B656E"/>
    <w:rsid w:val="009C0DEA"/>
    <w:rsid w:val="00A15D13"/>
    <w:rsid w:val="00A25856"/>
    <w:rsid w:val="00B36376"/>
    <w:rsid w:val="00BE38CC"/>
    <w:rsid w:val="00DA494B"/>
    <w:rsid w:val="00DF2DA4"/>
    <w:rsid w:val="00DF4E58"/>
    <w:rsid w:val="00E24F8D"/>
    <w:rsid w:val="00FD1E25"/>
    <w:rsid w:val="00FF76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25856"/>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uiPriority w:val="99"/>
    <w:rsid w:val="00A25856"/>
    <w:rPr>
      <w:rFonts w:ascii="Times New Roman" w:eastAsia="Times New Roman" w:hAnsi="Times New Roman" w:cs="Times New Roman"/>
      <w:b/>
      <w:bCs/>
      <w:sz w:val="28"/>
      <w:szCs w:val="24"/>
      <w:lang w:eastAsia="ru-RU"/>
    </w:rPr>
  </w:style>
  <w:style w:type="paragraph" w:styleId="HTML">
    <w:name w:val="HTML Preformatted"/>
    <w:basedOn w:val="a"/>
    <w:link w:val="HTML0"/>
    <w:uiPriority w:val="99"/>
    <w:rsid w:val="00A2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A25856"/>
    <w:rPr>
      <w:rFonts w:ascii="Courier New" w:eastAsia="Times New Roman" w:hAnsi="Courier New" w:cs="Times New Roman"/>
      <w:sz w:val="20"/>
      <w:szCs w:val="20"/>
      <w:lang w:val="ru-RU" w:eastAsia="ru-RU"/>
    </w:rPr>
  </w:style>
  <w:style w:type="paragraph" w:customStyle="1" w:styleId="NormalText">
    <w:name w:val="Normal Text"/>
    <w:basedOn w:val="a"/>
    <w:uiPriority w:val="99"/>
    <w:rsid w:val="00A25856"/>
    <w:pPr>
      <w:spacing w:after="0" w:line="240" w:lineRule="auto"/>
      <w:ind w:firstLine="567"/>
      <w:jc w:val="both"/>
    </w:pPr>
    <w:rPr>
      <w:rFonts w:ascii="Antiqua" w:eastAsia="Times New Roman" w:hAnsi="Antiqua" w:cs="Times New Roman"/>
      <w:sz w:val="26"/>
      <w:szCs w:val="20"/>
      <w:lang w:val="en-US" w:eastAsia="ru-RU"/>
    </w:rPr>
  </w:style>
  <w:style w:type="paragraph" w:styleId="a5">
    <w:name w:val="Normal (Web)"/>
    <w:basedOn w:val="a"/>
    <w:uiPriority w:val="99"/>
    <w:rsid w:val="00A2585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F4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713513">
      <w:bodyDiv w:val="1"/>
      <w:marLeft w:val="0"/>
      <w:marRight w:val="0"/>
      <w:marTop w:val="0"/>
      <w:marBottom w:val="0"/>
      <w:divBdr>
        <w:top w:val="none" w:sz="0" w:space="0" w:color="auto"/>
        <w:left w:val="none" w:sz="0" w:space="0" w:color="auto"/>
        <w:bottom w:val="none" w:sz="0" w:space="0" w:color="auto"/>
        <w:right w:val="none" w:sz="0" w:space="0" w:color="auto"/>
      </w:divBdr>
    </w:div>
    <w:div w:id="561214526">
      <w:bodyDiv w:val="1"/>
      <w:marLeft w:val="0"/>
      <w:marRight w:val="0"/>
      <w:marTop w:val="0"/>
      <w:marBottom w:val="0"/>
      <w:divBdr>
        <w:top w:val="none" w:sz="0" w:space="0" w:color="auto"/>
        <w:left w:val="none" w:sz="0" w:space="0" w:color="auto"/>
        <w:bottom w:val="none" w:sz="0" w:space="0" w:color="auto"/>
        <w:right w:val="none" w:sz="0" w:space="0" w:color="auto"/>
      </w:divBdr>
    </w:div>
    <w:div w:id="1243953073">
      <w:bodyDiv w:val="1"/>
      <w:marLeft w:val="0"/>
      <w:marRight w:val="0"/>
      <w:marTop w:val="0"/>
      <w:marBottom w:val="0"/>
      <w:divBdr>
        <w:top w:val="none" w:sz="0" w:space="0" w:color="auto"/>
        <w:left w:val="none" w:sz="0" w:space="0" w:color="auto"/>
        <w:bottom w:val="none" w:sz="0" w:space="0" w:color="auto"/>
        <w:right w:val="none" w:sz="0" w:space="0" w:color="auto"/>
      </w:divBdr>
    </w:div>
    <w:div w:id="16996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3887</Words>
  <Characters>2216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Konovalenko</dc:creator>
  <cp:lastModifiedBy>khomenko</cp:lastModifiedBy>
  <cp:revision>12</cp:revision>
  <cp:lastPrinted>2016-06-21T07:12:00Z</cp:lastPrinted>
  <dcterms:created xsi:type="dcterms:W3CDTF">2016-01-25T09:52:00Z</dcterms:created>
  <dcterms:modified xsi:type="dcterms:W3CDTF">2016-06-21T07:15:00Z</dcterms:modified>
</cp:coreProperties>
</file>