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F4" w:rsidRPr="00600AD1" w:rsidRDefault="004C39F4" w:rsidP="00AB56B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4C39F4" w:rsidRPr="00600AD1" w:rsidRDefault="004C39F4" w:rsidP="00AB56B8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4C39F4" w:rsidRPr="00600AD1" w:rsidRDefault="004C39F4" w:rsidP="00AB56B8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4C39F4" w:rsidRPr="00600AD1" w:rsidRDefault="004C39F4" w:rsidP="00AB56B8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4C39F4" w:rsidRPr="00600AD1" w:rsidRDefault="004C39F4" w:rsidP="00AB56B8">
      <w:pPr>
        <w:pStyle w:val="FR1"/>
        <w:tabs>
          <w:tab w:val="left" w:pos="4050"/>
        </w:tabs>
        <w:spacing w:line="360" w:lineRule="auto"/>
        <w:rPr>
          <w:sz w:val="24"/>
          <w:szCs w:val="24"/>
        </w:rPr>
      </w:pPr>
      <w:r w:rsidRPr="00600AD1">
        <w:t>_____________________________________________________________________________________________</w:t>
      </w:r>
      <w:r w:rsidRPr="00600AD1">
        <w:rPr>
          <w:sz w:val="24"/>
          <w:szCs w:val="24"/>
        </w:rPr>
        <w:t xml:space="preserve"> </w:t>
      </w:r>
    </w:p>
    <w:p w:rsidR="004C39F4" w:rsidRPr="00187E8D" w:rsidRDefault="004C39F4" w:rsidP="00B11AA9">
      <w:pPr>
        <w:pStyle w:val="Heading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4C39F4" w:rsidRPr="00090EBD" w:rsidRDefault="004C39F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C39F4" w:rsidRPr="00090EBD" w:rsidRDefault="004C39F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C39F4" w:rsidRPr="00090EBD" w:rsidRDefault="004C39F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530701">
        <w:rPr>
          <w:rFonts w:ascii="Times New Roman" w:hAnsi="Times New Roman"/>
          <w:b/>
          <w:sz w:val="28"/>
          <w:szCs w:val="24"/>
        </w:rPr>
        <w:t>ПАТ «КБ «НАДРА»</w:t>
      </w:r>
      <w:r w:rsidRPr="00E13A04">
        <w:rPr>
          <w:rFonts w:ascii="Times New Roman" w:hAnsi="Times New Roman"/>
          <w:b/>
          <w:sz w:val="28"/>
        </w:rPr>
        <w:t>,</w:t>
      </w:r>
    </w:p>
    <w:p w:rsidR="004C39F4" w:rsidRPr="00227FDC" w:rsidRDefault="004C39F4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Передбаченого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>пунктом</w:t>
      </w:r>
      <w:r w:rsidRPr="007509CD">
        <w:rPr>
          <w:rFonts w:ascii="Times New Roman" w:hAnsi="Times New Roman"/>
          <w:b/>
          <w:sz w:val="28"/>
          <w:lang w:val="ru-RU"/>
        </w:rPr>
        <w:t xml:space="preserve"> </w:t>
      </w:r>
      <w:r w:rsidRPr="00227FDC">
        <w:rPr>
          <w:rFonts w:ascii="Times New Roman" w:hAnsi="Times New Roman"/>
          <w:b/>
          <w:sz w:val="28"/>
        </w:rPr>
        <w:t xml:space="preserve">5 частини другої статті 39 Закону </w:t>
      </w:r>
    </w:p>
    <w:p w:rsidR="004C39F4" w:rsidRPr="00340695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Pr="00530701">
        <w:rPr>
          <w:rFonts w:ascii="Times New Roman" w:hAnsi="Times New Roman"/>
          <w:b w:val="0"/>
          <w:sz w:val="28"/>
          <w:szCs w:val="24"/>
        </w:rPr>
        <w:t>ПАТ «КБ «НАДРА»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C39F4" w:rsidRPr="00340695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4C39F4" w:rsidRDefault="004C39F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приміщення, с</w:t>
      </w:r>
      <w:r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інвесторами, сплати ними гарантійного внеску на участь у виведенні неплатоспроможного банку з ринку, мінімальна ціна за 100% акцій неплатоспроможного банку (в разі її встановлення), а також строки розгляду поданих конкурсних пропозицій та оголошення переможця конкурсу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язкуна зазначену в картці потенційного інвестора адресу.</w:t>
      </w:r>
    </w:p>
    <w:p w:rsidR="004C39F4" w:rsidRPr="00430673" w:rsidRDefault="004C39F4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4C39F4" w:rsidRDefault="004C39F4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Pr="007509C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0 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00 000 грн. (п</w:t>
      </w:r>
      <w:r w:rsidRPr="007509CD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ятдесят 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>
        <w:rPr>
          <w:rFonts w:ascii="Times New Roman" w:hAnsi="Times New Roman"/>
          <w:sz w:val="28"/>
          <w:szCs w:val="24"/>
        </w:rPr>
        <w:t>ПАТ «КБ «НАДРА»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4C39F4" w:rsidRDefault="004C39F4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C39F4" w:rsidRDefault="004C39F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4C39F4" w:rsidRDefault="004C39F4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4C39F4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4C39F4" w:rsidRPr="007509CD" w:rsidRDefault="004C39F4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4C39F4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2)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4C39F4" w:rsidRPr="00337B4C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3) візьме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4C39F4" w:rsidRPr="00337B4C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4)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t>щодо дотримання нормативів капіталу та ліквідності у строки, визначені Законом та Положенням №2;</w:t>
      </w:r>
    </w:p>
    <w:p w:rsidR="004C39F4" w:rsidRPr="00F12BA7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5)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C39F4" w:rsidRPr="00F12BA7" w:rsidRDefault="004C39F4" w:rsidP="00696CC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>тації неплатоспроможного банку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4C39F4" w:rsidRPr="00337B4C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C39F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4C39F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>
        <w:rPr>
          <w:rFonts w:ascii="Times New Roman" w:hAnsi="Times New Roman"/>
          <w:b w:val="0"/>
          <w:sz w:val="28"/>
        </w:rPr>
        <w:t>і. 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</w:t>
      </w:r>
      <w:bookmarkStart w:id="1" w:name="_GoBack"/>
      <w:r w:rsidRPr="00187E8D">
        <w:rPr>
          <w:rFonts w:ascii="Times New Roman" w:hAnsi="Times New Roman"/>
          <w:b w:val="0"/>
          <w:sz w:val="28"/>
        </w:rPr>
        <w:t>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4C39F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</w:rPr>
        <w:t>послуг переможцем конкурсу;</w:t>
      </w:r>
    </w:p>
    <w:p w:rsidR="004C39F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 xml:space="preserve">визначення умов </w:t>
      </w:r>
      <w:bookmarkEnd w:id="1"/>
      <w:r w:rsidRPr="00636003">
        <w:rPr>
          <w:rFonts w:ascii="Times New Roman" w:hAnsi="Times New Roman"/>
          <w:b w:val="0"/>
          <w:sz w:val="28"/>
        </w:rPr>
        <w:t>участі в аукціонних торгах та оплати винагороди за надання ліцитаторських послуг</w:t>
      </w:r>
      <w:r>
        <w:rPr>
          <w:rFonts w:ascii="Times New Roman" w:hAnsi="Times New Roman"/>
          <w:b w:val="0"/>
          <w:sz w:val="28"/>
        </w:rPr>
        <w:t xml:space="preserve"> переможцем конкурсу, або порушили умови такого договору або правила аукціону, участі у конкурсі не беруть;</w:t>
      </w:r>
    </w:p>
    <w:p w:rsidR="004C39F4" w:rsidRPr="00CD091C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>визнається виконавчою дирекцією переможцем конкурсу за умови, що ціна банку, визначена в ході аукціонних торгів, перевищить встановлену Фондом гарантування мінімальну ціну (в разі її встановлення), та з урахуванням дотримання принципу виведення неплатоспроможного банку з ринку найменш витратним для Фонду гарантування способом.</w:t>
      </w:r>
    </w:p>
    <w:p w:rsidR="004C39F4" w:rsidRPr="00F12BA7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4C39F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4C39F4" w:rsidRPr="00133444" w:rsidRDefault="004C39F4" w:rsidP="00E13A04">
      <w:pPr>
        <w:pStyle w:val="Heading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C39F4" w:rsidRPr="00311040" w:rsidRDefault="004C39F4" w:rsidP="0031104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4C39F4" w:rsidRPr="00311040" w:rsidSect="00E51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F4" w:rsidRDefault="004C39F4" w:rsidP="00E13A04">
      <w:pPr>
        <w:spacing w:after="0" w:line="240" w:lineRule="auto"/>
      </w:pPr>
      <w:r>
        <w:separator/>
      </w:r>
    </w:p>
  </w:endnote>
  <w:endnote w:type="continuationSeparator" w:id="0">
    <w:p w:rsidR="004C39F4" w:rsidRDefault="004C39F4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Footer"/>
      <w:jc w:val="right"/>
    </w:pPr>
    <w:fldSimple w:instr="PAGE   \* MERGEFORMAT">
      <w:r w:rsidRPr="00AB56B8">
        <w:rPr>
          <w:noProof/>
          <w:lang w:val="ru-RU"/>
        </w:rPr>
        <w:t>1</w:t>
      </w:r>
    </w:fldSimple>
  </w:p>
  <w:p w:rsidR="004C39F4" w:rsidRDefault="004C39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F4" w:rsidRDefault="004C39F4" w:rsidP="00E13A04">
      <w:pPr>
        <w:spacing w:after="0" w:line="240" w:lineRule="auto"/>
      </w:pPr>
      <w:r>
        <w:separator/>
      </w:r>
    </w:p>
  </w:footnote>
  <w:footnote w:type="continuationSeparator" w:id="0">
    <w:p w:rsidR="004C39F4" w:rsidRDefault="004C39F4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F4" w:rsidRDefault="004C39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81"/>
    <w:rsid w:val="00004969"/>
    <w:rsid w:val="00090EBD"/>
    <w:rsid w:val="000B55EE"/>
    <w:rsid w:val="00130811"/>
    <w:rsid w:val="00133444"/>
    <w:rsid w:val="00144604"/>
    <w:rsid w:val="00162915"/>
    <w:rsid w:val="001843B7"/>
    <w:rsid w:val="00187E8D"/>
    <w:rsid w:val="001E5348"/>
    <w:rsid w:val="00227FDC"/>
    <w:rsid w:val="00275D67"/>
    <w:rsid w:val="00281D4A"/>
    <w:rsid w:val="002A0CC1"/>
    <w:rsid w:val="00311040"/>
    <w:rsid w:val="00337B4C"/>
    <w:rsid w:val="00340695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B32FE"/>
    <w:rsid w:val="004C0EBD"/>
    <w:rsid w:val="004C39F4"/>
    <w:rsid w:val="00530701"/>
    <w:rsid w:val="00600AD1"/>
    <w:rsid w:val="00636003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C1B83"/>
    <w:rsid w:val="00A01E3A"/>
    <w:rsid w:val="00A17D26"/>
    <w:rsid w:val="00A70EF6"/>
    <w:rsid w:val="00AB56B8"/>
    <w:rsid w:val="00AC3B27"/>
    <w:rsid w:val="00B11AA9"/>
    <w:rsid w:val="00B159F6"/>
    <w:rsid w:val="00B20C6C"/>
    <w:rsid w:val="00B215B6"/>
    <w:rsid w:val="00BF72E4"/>
    <w:rsid w:val="00C92CC9"/>
    <w:rsid w:val="00CB76FA"/>
    <w:rsid w:val="00CC25AA"/>
    <w:rsid w:val="00CD091C"/>
    <w:rsid w:val="00CD44B2"/>
    <w:rsid w:val="00CE63B6"/>
    <w:rsid w:val="00D348BC"/>
    <w:rsid w:val="00D96B04"/>
    <w:rsid w:val="00DA0E5F"/>
    <w:rsid w:val="00E13A04"/>
    <w:rsid w:val="00E511DB"/>
    <w:rsid w:val="00E97429"/>
    <w:rsid w:val="00EB2ABE"/>
    <w:rsid w:val="00F12BA7"/>
    <w:rsid w:val="00F1777D"/>
    <w:rsid w:val="00F6130A"/>
    <w:rsid w:val="00FD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3A04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A04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3A0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3A0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3A04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3A04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3A04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3A04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3A04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3A04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A04"/>
    <w:rPr>
      <w:rFonts w:ascii="Calibri" w:eastAsia="Times New Roman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AA9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AB56B8"/>
    <w:rPr>
      <w:rFonts w:cs="Times New Roman"/>
      <w:color w:val="0000FF"/>
      <w:u w:val="single"/>
    </w:rPr>
  </w:style>
  <w:style w:type="paragraph" w:customStyle="1" w:styleId="FR1">
    <w:name w:val="FR1"/>
    <w:basedOn w:val="Normal"/>
    <w:uiPriority w:val="99"/>
    <w:rsid w:val="00AB56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4</Pages>
  <Words>1312</Words>
  <Characters>7483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39</cp:revision>
  <cp:lastPrinted>2015-01-13T09:07:00Z</cp:lastPrinted>
  <dcterms:created xsi:type="dcterms:W3CDTF">2015-01-12T12:34:00Z</dcterms:created>
  <dcterms:modified xsi:type="dcterms:W3CDTF">2015-02-14T10:32:00Z</dcterms:modified>
</cp:coreProperties>
</file>