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090EBD" w:rsidRDefault="00A57CAB" w:rsidP="00E13A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530701" w:rsidRPr="00530701">
        <w:rPr>
          <w:rFonts w:ascii="Times New Roman" w:hAnsi="Times New Roman"/>
          <w:b/>
          <w:sz w:val="28"/>
          <w:szCs w:val="24"/>
        </w:rPr>
        <w:t>АТ «</w:t>
      </w:r>
      <w:r w:rsidR="001B2F1D">
        <w:rPr>
          <w:rFonts w:ascii="Times New Roman" w:hAnsi="Times New Roman"/>
          <w:b/>
          <w:sz w:val="28"/>
          <w:szCs w:val="24"/>
        </w:rPr>
        <w:t>БАНК «КИЇВСЬКА РУСЬ</w:t>
      </w:r>
      <w:r w:rsidR="00530701" w:rsidRPr="00530701">
        <w:rPr>
          <w:rFonts w:ascii="Times New Roman" w:hAnsi="Times New Roman"/>
          <w:b/>
          <w:sz w:val="28"/>
          <w:szCs w:val="24"/>
        </w:rPr>
        <w:t>»</w:t>
      </w:r>
      <w:r w:rsidR="00E13A04" w:rsidRPr="00E13A04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A57CA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30701" w:rsidRPr="00530701">
        <w:rPr>
          <w:rFonts w:ascii="Times New Roman" w:hAnsi="Times New Roman"/>
          <w:b w:val="0"/>
          <w:sz w:val="28"/>
          <w:szCs w:val="24"/>
        </w:rPr>
        <w:t>АТ «</w:t>
      </w:r>
      <w:r w:rsidR="001B2F1D">
        <w:rPr>
          <w:rFonts w:ascii="Times New Roman" w:hAnsi="Times New Roman"/>
          <w:b w:val="0"/>
          <w:sz w:val="28"/>
          <w:szCs w:val="24"/>
        </w:rPr>
        <w:t>БАНК «КИЇВСЬКА РУСЬ</w:t>
      </w:r>
      <w:r w:rsidR="00530701"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2E16FF">
        <w:rPr>
          <w:rFonts w:ascii="Times New Roman" w:hAnsi="Times New Roman"/>
          <w:sz w:val="28"/>
          <w:szCs w:val="28"/>
          <w:lang w:val="ru-RU"/>
        </w:rPr>
        <w:t>2</w:t>
      </w:r>
      <w:r w:rsidR="002E16FF">
        <w:rPr>
          <w:rFonts w:ascii="Times New Roman" w:hAnsi="Times New Roman"/>
          <w:sz w:val="28"/>
          <w:szCs w:val="28"/>
        </w:rPr>
        <w:t>0 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00 000 грн. (</w:t>
      </w:r>
      <w:r w:rsidR="002E16FF">
        <w:rPr>
          <w:rFonts w:ascii="Times New Roman" w:hAnsi="Times New Roman"/>
          <w:sz w:val="28"/>
          <w:szCs w:val="28"/>
        </w:rPr>
        <w:t xml:space="preserve">двадцять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 xml:space="preserve">Гарантійний внесок Фонду гарантування вкладів фізичних осіб для </w:t>
      </w:r>
      <w:bookmarkStart w:id="0" w:name="_GoBack"/>
      <w:bookmarkEnd w:id="0"/>
      <w:r w:rsidRPr="00F12BA7">
        <w:rPr>
          <w:rFonts w:ascii="Times New Roman" w:hAnsi="Times New Roman"/>
          <w:sz w:val="28"/>
          <w:szCs w:val="28"/>
        </w:rPr>
        <w:t>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A57CAB">
        <w:rPr>
          <w:rFonts w:ascii="Times New Roman" w:hAnsi="Times New Roman"/>
          <w:sz w:val="28"/>
          <w:szCs w:val="28"/>
        </w:rPr>
        <w:t>П</w:t>
      </w:r>
      <w:r w:rsidR="00530701">
        <w:rPr>
          <w:rFonts w:ascii="Times New Roman" w:hAnsi="Times New Roman"/>
          <w:sz w:val="28"/>
          <w:szCs w:val="24"/>
        </w:rPr>
        <w:t>АТ «</w:t>
      </w:r>
      <w:r w:rsidR="001B2F1D">
        <w:rPr>
          <w:rFonts w:ascii="Times New Roman" w:hAnsi="Times New Roman"/>
          <w:sz w:val="28"/>
          <w:szCs w:val="24"/>
        </w:rPr>
        <w:t>БАНК «КИЇВСЬКА РУСЬ</w:t>
      </w:r>
      <w:r w:rsidR="0053070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337B4C" w:rsidRPr="00337B4C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E2C9A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311040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C92CC9" w:rsidRPr="00311040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88" w:rsidRDefault="00062F88" w:rsidP="00E13A04">
      <w:pPr>
        <w:spacing w:after="0" w:line="240" w:lineRule="auto"/>
      </w:pPr>
      <w:r>
        <w:separator/>
      </w:r>
    </w:p>
  </w:endnote>
  <w:endnote w:type="continuationSeparator" w:id="1">
    <w:p w:rsidR="00062F88" w:rsidRDefault="00062F88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D" w:rsidRDefault="001B2F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1B2F1D" w:rsidRDefault="00E01591">
        <w:pPr>
          <w:pStyle w:val="a5"/>
          <w:jc w:val="right"/>
        </w:pPr>
        <w:r w:rsidRPr="00E01591">
          <w:fldChar w:fldCharType="begin"/>
        </w:r>
        <w:r w:rsidR="001B2F1D">
          <w:instrText>PAGE   \* MERGEFORMAT</w:instrText>
        </w:r>
        <w:r w:rsidRPr="00E01591">
          <w:fldChar w:fldCharType="separate"/>
        </w:r>
        <w:r w:rsidR="00BC1F64" w:rsidRPr="00BC1F64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1B2F1D" w:rsidRDefault="001B2F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D" w:rsidRDefault="001B2F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88" w:rsidRDefault="00062F88" w:rsidP="00E13A04">
      <w:pPr>
        <w:spacing w:after="0" w:line="240" w:lineRule="auto"/>
      </w:pPr>
      <w:r>
        <w:separator/>
      </w:r>
    </w:p>
  </w:footnote>
  <w:footnote w:type="continuationSeparator" w:id="1">
    <w:p w:rsidR="00062F88" w:rsidRDefault="00062F88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D" w:rsidRDefault="001B2F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D" w:rsidRDefault="001B2F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D" w:rsidRDefault="001B2F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62F88"/>
    <w:rsid w:val="000B55EE"/>
    <w:rsid w:val="00130811"/>
    <w:rsid w:val="00144604"/>
    <w:rsid w:val="00162915"/>
    <w:rsid w:val="001843B7"/>
    <w:rsid w:val="001B2F1D"/>
    <w:rsid w:val="001E5348"/>
    <w:rsid w:val="00227FDC"/>
    <w:rsid w:val="00243008"/>
    <w:rsid w:val="00275D67"/>
    <w:rsid w:val="00281D4A"/>
    <w:rsid w:val="002A0CC1"/>
    <w:rsid w:val="002E16FF"/>
    <w:rsid w:val="00311040"/>
    <w:rsid w:val="00337B4C"/>
    <w:rsid w:val="0035055A"/>
    <w:rsid w:val="00350E95"/>
    <w:rsid w:val="00363EE2"/>
    <w:rsid w:val="003C60C2"/>
    <w:rsid w:val="003F177E"/>
    <w:rsid w:val="00425C41"/>
    <w:rsid w:val="00426B5D"/>
    <w:rsid w:val="00430673"/>
    <w:rsid w:val="00435381"/>
    <w:rsid w:val="00440DB5"/>
    <w:rsid w:val="0045046B"/>
    <w:rsid w:val="004C0EBD"/>
    <w:rsid w:val="00530701"/>
    <w:rsid w:val="00637FA9"/>
    <w:rsid w:val="00696CC4"/>
    <w:rsid w:val="00696FCE"/>
    <w:rsid w:val="006C6F90"/>
    <w:rsid w:val="006F6943"/>
    <w:rsid w:val="00716156"/>
    <w:rsid w:val="007509CD"/>
    <w:rsid w:val="00770C31"/>
    <w:rsid w:val="007E2C9A"/>
    <w:rsid w:val="008A3447"/>
    <w:rsid w:val="008B21ED"/>
    <w:rsid w:val="009224C1"/>
    <w:rsid w:val="00991C03"/>
    <w:rsid w:val="009C1B83"/>
    <w:rsid w:val="009F3D5A"/>
    <w:rsid w:val="00A0143D"/>
    <w:rsid w:val="00A01E3A"/>
    <w:rsid w:val="00A57CAB"/>
    <w:rsid w:val="00AC3B27"/>
    <w:rsid w:val="00B11AA9"/>
    <w:rsid w:val="00B159F6"/>
    <w:rsid w:val="00B20C6C"/>
    <w:rsid w:val="00BC1F64"/>
    <w:rsid w:val="00BF72E4"/>
    <w:rsid w:val="00C92CC9"/>
    <w:rsid w:val="00CB76FA"/>
    <w:rsid w:val="00CC25AA"/>
    <w:rsid w:val="00D348BC"/>
    <w:rsid w:val="00D96B04"/>
    <w:rsid w:val="00DA0E5F"/>
    <w:rsid w:val="00E01591"/>
    <w:rsid w:val="00E13A04"/>
    <w:rsid w:val="00E511DB"/>
    <w:rsid w:val="00E97429"/>
    <w:rsid w:val="00EB2ABE"/>
    <w:rsid w:val="00EB4A41"/>
    <w:rsid w:val="00F1777D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46</cp:revision>
  <cp:lastPrinted>2015-01-13T09:07:00Z</cp:lastPrinted>
  <dcterms:created xsi:type="dcterms:W3CDTF">2015-01-12T12:34:00Z</dcterms:created>
  <dcterms:modified xsi:type="dcterms:W3CDTF">2015-03-27T15:36:00Z</dcterms:modified>
</cp:coreProperties>
</file>