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735FC4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3B54EC" w:rsidRPr="003B54EC">
        <w:rPr>
          <w:rFonts w:ascii="Times New Roman" w:hAnsi="Times New Roman"/>
          <w:b/>
          <w:sz w:val="28"/>
          <w:szCs w:val="24"/>
        </w:rPr>
        <w:t>АТ </w:t>
      </w:r>
      <w:r w:rsidR="003B54EC" w:rsidRPr="0051627B">
        <w:rPr>
          <w:rFonts w:ascii="Times New Roman" w:hAnsi="Times New Roman"/>
          <w:b/>
          <w:sz w:val="28"/>
        </w:rPr>
        <w:t>«</w:t>
      </w:r>
      <w:r w:rsidR="0036175B" w:rsidRPr="0036175B">
        <w:rPr>
          <w:rFonts w:ascii="Times New Roman" w:hAnsi="Times New Roman"/>
          <w:b/>
          <w:sz w:val="28"/>
          <w:szCs w:val="28"/>
        </w:rPr>
        <w:t>КБ «ФІНАНСОВА ІНІЦІАТИВА</w:t>
      </w:r>
      <w:r w:rsidR="003B54EC" w:rsidRPr="0051627B">
        <w:rPr>
          <w:rFonts w:ascii="Times New Roman" w:hAnsi="Times New Roman"/>
          <w:b/>
          <w:sz w:val="28"/>
        </w:rPr>
        <w:t>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735FC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3B54EC" w:rsidRPr="003B54EC">
        <w:rPr>
          <w:rFonts w:ascii="Times New Roman" w:hAnsi="Times New Roman"/>
          <w:b w:val="0"/>
          <w:sz w:val="28"/>
          <w:szCs w:val="24"/>
        </w:rPr>
        <w:t>АТ «</w:t>
      </w:r>
      <w:r w:rsidR="0036175B" w:rsidRPr="0036175B">
        <w:rPr>
          <w:rFonts w:ascii="Times New Roman" w:hAnsi="Times New Roman"/>
          <w:b w:val="0"/>
          <w:sz w:val="28"/>
          <w:szCs w:val="28"/>
        </w:rPr>
        <w:t>КБ «ФІНАНСОВА ІНІЦІАТИВА</w:t>
      </w:r>
      <w:r w:rsidR="003B54EC"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 w:rsidRPr="0002117B">
        <w:rPr>
          <w:rFonts w:ascii="Times New Roman" w:hAnsi="Times New Roman"/>
          <w:sz w:val="28"/>
          <w:szCs w:val="28"/>
          <w:lang w:val="ru-RU"/>
        </w:rPr>
        <w:t>40</w:t>
      </w:r>
      <w:r w:rsidR="00757BEC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</w:t>
      </w:r>
      <w:r w:rsidR="00757BEC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</w:t>
      </w:r>
      <w:r w:rsidR="00EB1ACE">
        <w:rPr>
          <w:rFonts w:ascii="Times New Roman" w:hAnsi="Times New Roman"/>
          <w:sz w:val="28"/>
          <w:szCs w:val="28"/>
        </w:rPr>
        <w:t>,00</w:t>
      </w:r>
      <w:r w:rsidR="00361384" w:rsidRPr="0002117B">
        <w:rPr>
          <w:rFonts w:ascii="Times New Roman" w:hAnsi="Times New Roman"/>
          <w:sz w:val="28"/>
          <w:szCs w:val="28"/>
        </w:rPr>
        <w:t xml:space="preserve"> грн. (</w:t>
      </w:r>
      <w:r w:rsidR="00735FC4" w:rsidRPr="0002117B">
        <w:rPr>
          <w:rFonts w:ascii="Times New Roman" w:hAnsi="Times New Roman"/>
          <w:sz w:val="28"/>
          <w:szCs w:val="28"/>
        </w:rPr>
        <w:t>сорок</w:t>
      </w:r>
      <w:r w:rsidR="00361384" w:rsidRPr="0002117B">
        <w:rPr>
          <w:rFonts w:ascii="Times New Roman" w:hAnsi="Times New Roman"/>
          <w:sz w:val="28"/>
          <w:szCs w:val="28"/>
        </w:rPr>
        <w:t>мільйонів гривень</w:t>
      </w:r>
      <w:r w:rsidR="00EB1ACE">
        <w:rPr>
          <w:rFonts w:ascii="Times New Roman" w:hAnsi="Times New Roman"/>
          <w:sz w:val="28"/>
          <w:szCs w:val="28"/>
        </w:rPr>
        <w:t xml:space="preserve"> нуль копійок</w:t>
      </w:r>
      <w:r w:rsidR="00361384" w:rsidRPr="0002117B">
        <w:rPr>
          <w:rFonts w:ascii="Times New Roman" w:hAnsi="Times New Roman"/>
          <w:sz w:val="28"/>
          <w:szCs w:val="28"/>
        </w:rPr>
        <w:t>).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 xml:space="preserve">Гарантійний внесок Фонду гарантування </w:t>
      </w:r>
      <w:bookmarkEnd w:id="0"/>
      <w:r w:rsidR="00361384" w:rsidRPr="00F12BA7">
        <w:rPr>
          <w:rFonts w:ascii="Times New Roman" w:hAnsi="Times New Roman"/>
          <w:sz w:val="28"/>
          <w:szCs w:val="28"/>
        </w:rPr>
        <w:t>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735FC4">
        <w:rPr>
          <w:rFonts w:ascii="Times New Roman" w:hAnsi="Times New Roman"/>
          <w:sz w:val="28"/>
          <w:szCs w:val="28"/>
        </w:rPr>
        <w:t>П</w:t>
      </w:r>
      <w:r w:rsidR="003B54EC">
        <w:rPr>
          <w:rFonts w:ascii="Times New Roman" w:hAnsi="Times New Roman"/>
          <w:sz w:val="28"/>
          <w:szCs w:val="24"/>
        </w:rPr>
        <w:t>АТ «</w:t>
      </w:r>
      <w:r w:rsidR="0036175B" w:rsidRPr="00925F16">
        <w:rPr>
          <w:rFonts w:ascii="Times New Roman" w:hAnsi="Times New Roman"/>
          <w:sz w:val="28"/>
          <w:szCs w:val="28"/>
        </w:rPr>
        <w:t>КБ</w:t>
      </w:r>
      <w:r w:rsidR="0036175B">
        <w:rPr>
          <w:rFonts w:ascii="Times New Roman" w:hAnsi="Times New Roman"/>
          <w:sz w:val="28"/>
          <w:szCs w:val="28"/>
        </w:rPr>
        <w:t> </w:t>
      </w:r>
      <w:r w:rsidR="0036175B" w:rsidRPr="00925F16">
        <w:rPr>
          <w:rFonts w:ascii="Times New Roman" w:hAnsi="Times New Roman"/>
          <w:sz w:val="28"/>
          <w:szCs w:val="28"/>
        </w:rPr>
        <w:t>«ФІНАНСОВА ІНІЦІАТИВА</w:t>
      </w:r>
      <w:r w:rsidR="003B54EC">
        <w:rPr>
          <w:rFonts w:ascii="Times New Roman" w:hAnsi="Times New Roman"/>
          <w:sz w:val="28"/>
          <w:szCs w:val="24"/>
        </w:rPr>
        <w:t>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50" w:rsidRDefault="00B94C50" w:rsidP="004B7992">
      <w:pPr>
        <w:spacing w:after="0" w:line="240" w:lineRule="auto"/>
      </w:pPr>
      <w:r>
        <w:separator/>
      </w:r>
    </w:p>
  </w:endnote>
  <w:endnote w:type="continuationSeparator" w:id="1">
    <w:p w:rsidR="00B94C50" w:rsidRDefault="00B94C50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134D7D">
        <w:pPr>
          <w:pStyle w:val="a5"/>
          <w:jc w:val="right"/>
        </w:pPr>
        <w:r w:rsidRPr="00134D7D">
          <w:fldChar w:fldCharType="begin"/>
        </w:r>
        <w:r w:rsidR="00CF2E42">
          <w:instrText>PAGE   \* MERGEFORMAT</w:instrText>
        </w:r>
        <w:r w:rsidRPr="00134D7D">
          <w:fldChar w:fldCharType="separate"/>
        </w:r>
        <w:r w:rsidR="00C3799E" w:rsidRPr="00C3799E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50" w:rsidRDefault="00B94C50" w:rsidP="004B7992">
      <w:pPr>
        <w:spacing w:after="0" w:line="240" w:lineRule="auto"/>
      </w:pPr>
      <w:r>
        <w:separator/>
      </w:r>
    </w:p>
  </w:footnote>
  <w:footnote w:type="continuationSeparator" w:id="1">
    <w:p w:rsidR="00B94C50" w:rsidRDefault="00B94C50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2117B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34D7D"/>
    <w:rsid w:val="00154778"/>
    <w:rsid w:val="00155782"/>
    <w:rsid w:val="001876E9"/>
    <w:rsid w:val="00195C99"/>
    <w:rsid w:val="00260D07"/>
    <w:rsid w:val="002B7E7F"/>
    <w:rsid w:val="002E1120"/>
    <w:rsid w:val="0033044C"/>
    <w:rsid w:val="00331F9E"/>
    <w:rsid w:val="00361384"/>
    <w:rsid w:val="0036175B"/>
    <w:rsid w:val="003B54EC"/>
    <w:rsid w:val="00417036"/>
    <w:rsid w:val="00437FC0"/>
    <w:rsid w:val="004809B9"/>
    <w:rsid w:val="004B7992"/>
    <w:rsid w:val="004D39C3"/>
    <w:rsid w:val="004E255B"/>
    <w:rsid w:val="0051627B"/>
    <w:rsid w:val="005F0949"/>
    <w:rsid w:val="0062006D"/>
    <w:rsid w:val="006229E1"/>
    <w:rsid w:val="006644BA"/>
    <w:rsid w:val="006B45A6"/>
    <w:rsid w:val="00714C97"/>
    <w:rsid w:val="00733BB4"/>
    <w:rsid w:val="00735FC4"/>
    <w:rsid w:val="00757BEC"/>
    <w:rsid w:val="00786910"/>
    <w:rsid w:val="00800E29"/>
    <w:rsid w:val="00820124"/>
    <w:rsid w:val="00862F55"/>
    <w:rsid w:val="00863A4C"/>
    <w:rsid w:val="008653FE"/>
    <w:rsid w:val="008822B3"/>
    <w:rsid w:val="008857D3"/>
    <w:rsid w:val="0099272A"/>
    <w:rsid w:val="009D0D60"/>
    <w:rsid w:val="009F78F2"/>
    <w:rsid w:val="00A65516"/>
    <w:rsid w:val="00A80876"/>
    <w:rsid w:val="00A92E6B"/>
    <w:rsid w:val="00AB7B78"/>
    <w:rsid w:val="00AD4F68"/>
    <w:rsid w:val="00AD6F99"/>
    <w:rsid w:val="00AE40DE"/>
    <w:rsid w:val="00AE57A0"/>
    <w:rsid w:val="00B0704C"/>
    <w:rsid w:val="00B21D3A"/>
    <w:rsid w:val="00B245E9"/>
    <w:rsid w:val="00B256BF"/>
    <w:rsid w:val="00B60816"/>
    <w:rsid w:val="00B645FE"/>
    <w:rsid w:val="00B66B08"/>
    <w:rsid w:val="00B7757B"/>
    <w:rsid w:val="00B94C50"/>
    <w:rsid w:val="00BC7312"/>
    <w:rsid w:val="00BF58DD"/>
    <w:rsid w:val="00C34E4F"/>
    <w:rsid w:val="00C3799E"/>
    <w:rsid w:val="00C45606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7CA"/>
    <w:rsid w:val="00DB2EC7"/>
    <w:rsid w:val="00E1503E"/>
    <w:rsid w:val="00E561BF"/>
    <w:rsid w:val="00E8029E"/>
    <w:rsid w:val="00EB1ACE"/>
    <w:rsid w:val="00EE0CCA"/>
    <w:rsid w:val="00EF0E67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6CCE-B853-429E-AED7-4B15F16E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32</cp:revision>
  <cp:lastPrinted>2015-06-15T08:31:00Z</cp:lastPrinted>
  <dcterms:created xsi:type="dcterms:W3CDTF">2015-01-31T12:09:00Z</dcterms:created>
  <dcterms:modified xsi:type="dcterms:W3CDTF">2015-07-01T13:27:00Z</dcterms:modified>
</cp:coreProperties>
</file>